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C58A" w14:textId="77777777" w:rsidR="001B4136" w:rsidRDefault="001B4136" w:rsidP="001B4136">
      <w:pPr>
        <w:pStyle w:val="p"/>
        <w:spacing w:before="166" w:beforeAutospacing="0" w:after="166" w:afterAutospacing="0"/>
        <w:jc w:val="center"/>
        <w:rPr>
          <w:color w:val="000000"/>
        </w:rPr>
      </w:pPr>
    </w:p>
    <w:p w14:paraId="0B1B04D2" w14:textId="77777777" w:rsidR="001B4136" w:rsidRDefault="001B4136" w:rsidP="001B4136">
      <w:pPr>
        <w:pStyle w:val="p"/>
        <w:spacing w:before="166" w:beforeAutospacing="0" w:after="166" w:afterAutospacing="0"/>
        <w:jc w:val="center"/>
        <w:rPr>
          <w:color w:val="000000"/>
        </w:rPr>
      </w:pPr>
    </w:p>
    <w:p w14:paraId="26949CEB" w14:textId="5B7E34F9" w:rsidR="001B4136" w:rsidRPr="001B4136" w:rsidRDefault="001B4136" w:rsidP="001B4136">
      <w:pPr>
        <w:pStyle w:val="p"/>
        <w:spacing w:before="166" w:beforeAutospacing="0" w:after="166" w:afterAutospacing="0"/>
        <w:jc w:val="center"/>
        <w:rPr>
          <w:b/>
          <w:color w:val="000000"/>
        </w:rPr>
      </w:pPr>
      <w:r w:rsidRPr="001B4136">
        <w:rPr>
          <w:b/>
          <w:color w:val="000000"/>
        </w:rPr>
        <w:t xml:space="preserve">Intersection </w:t>
      </w:r>
      <w:r w:rsidR="00734917">
        <w:rPr>
          <w:b/>
          <w:color w:val="000000"/>
        </w:rPr>
        <w:t>B</w:t>
      </w:r>
      <w:r w:rsidRPr="001B4136">
        <w:rPr>
          <w:b/>
          <w:color w:val="000000"/>
        </w:rPr>
        <w:t xml:space="preserve">etween </w:t>
      </w:r>
      <w:r w:rsidR="00734917">
        <w:rPr>
          <w:b/>
          <w:color w:val="000000"/>
        </w:rPr>
        <w:t>C</w:t>
      </w:r>
      <w:r w:rsidRPr="001B4136">
        <w:rPr>
          <w:b/>
          <w:color w:val="000000"/>
        </w:rPr>
        <w:t xml:space="preserve">omplement and </w:t>
      </w:r>
      <w:r w:rsidR="00734917">
        <w:rPr>
          <w:b/>
          <w:color w:val="000000"/>
        </w:rPr>
        <w:t>T</w:t>
      </w:r>
      <w:r w:rsidRPr="001B4136">
        <w:rPr>
          <w:b/>
          <w:color w:val="000000"/>
        </w:rPr>
        <w:t xml:space="preserve">ransfusion </w:t>
      </w:r>
      <w:r w:rsidR="00734917">
        <w:rPr>
          <w:b/>
          <w:color w:val="000000"/>
        </w:rPr>
        <w:t>M</w:t>
      </w:r>
      <w:r w:rsidRPr="001B4136">
        <w:rPr>
          <w:b/>
          <w:color w:val="000000"/>
        </w:rPr>
        <w:t>edicine</w:t>
      </w:r>
    </w:p>
    <w:p w14:paraId="2E54B8CA" w14:textId="77777777" w:rsidR="001B4136" w:rsidRPr="00917D9B" w:rsidRDefault="001B4136" w:rsidP="001B4136">
      <w:pPr>
        <w:jc w:val="both"/>
        <w:rPr>
          <w:rFonts w:cstheme="minorHAnsi"/>
        </w:rPr>
      </w:pPr>
    </w:p>
    <w:p w14:paraId="2F22801C" w14:textId="77777777" w:rsidR="00734917" w:rsidRPr="00AA370A" w:rsidRDefault="00734917" w:rsidP="00734917">
      <w:pPr>
        <w:pStyle w:val="p"/>
        <w:spacing w:before="166" w:beforeAutospacing="0" w:after="166" w:afterAutospacing="0"/>
        <w:jc w:val="center"/>
        <w:rPr>
          <w:color w:val="000000"/>
        </w:rPr>
      </w:pPr>
      <w:r w:rsidRPr="00AA370A">
        <w:rPr>
          <w:color w:val="000000"/>
        </w:rPr>
        <w:t>Alexander P.J. Vlaar</w:t>
      </w:r>
      <w:r w:rsidRPr="00AA370A">
        <w:rPr>
          <w:color w:val="000000"/>
          <w:vertAlign w:val="superscript"/>
        </w:rPr>
        <w:t>1</w:t>
      </w:r>
      <w:r w:rsidRPr="00AA370A">
        <w:rPr>
          <w:color w:val="000000"/>
        </w:rPr>
        <w:t xml:space="preserve"> and Sean R. Stowell</w:t>
      </w:r>
      <w:r>
        <w:rPr>
          <w:color w:val="000000"/>
          <w:vertAlign w:val="superscript"/>
        </w:rPr>
        <w:t>2</w:t>
      </w:r>
    </w:p>
    <w:p w14:paraId="599982DE" w14:textId="77777777" w:rsidR="00734917" w:rsidRPr="00AA370A" w:rsidRDefault="00734917" w:rsidP="00734917">
      <w:pPr>
        <w:pStyle w:val="p"/>
        <w:spacing w:before="166" w:beforeAutospacing="0" w:after="166" w:afterAutospacing="0"/>
        <w:rPr>
          <w:color w:val="000000"/>
        </w:rPr>
      </w:pPr>
    </w:p>
    <w:p w14:paraId="713E7089" w14:textId="77777777" w:rsidR="00734917" w:rsidRPr="00AA370A" w:rsidRDefault="00734917" w:rsidP="00734917">
      <w:pPr>
        <w:pStyle w:val="BodyA"/>
        <w:spacing w:after="200" w:line="276" w:lineRule="auto"/>
        <w:rPr>
          <w:rFonts w:cs="Times New Roman"/>
          <w:b/>
          <w:bCs/>
          <w:lang w:val="en-GB"/>
        </w:rPr>
      </w:pPr>
    </w:p>
    <w:p w14:paraId="03703B93" w14:textId="77777777" w:rsidR="00734917" w:rsidRPr="00AA370A" w:rsidRDefault="00734917" w:rsidP="00734917">
      <w:pPr>
        <w:pStyle w:val="BodyA"/>
        <w:spacing w:after="200" w:line="276" w:lineRule="auto"/>
        <w:rPr>
          <w:rFonts w:cs="Times New Roman"/>
          <w:b/>
          <w:bCs/>
          <w:lang w:val="en-GB"/>
        </w:rPr>
      </w:pPr>
    </w:p>
    <w:p w14:paraId="03AA1700" w14:textId="77777777" w:rsidR="00734917" w:rsidRDefault="00734917" w:rsidP="00734917">
      <w:pPr>
        <w:pStyle w:val="BodyA"/>
        <w:spacing w:after="200"/>
        <w:rPr>
          <w:rFonts w:cs="Times New Roman"/>
          <w:b/>
          <w:bCs/>
          <w:lang w:val="en-GB"/>
        </w:rPr>
      </w:pPr>
    </w:p>
    <w:p w14:paraId="2F410F00" w14:textId="77777777" w:rsidR="00734917" w:rsidRDefault="00734917" w:rsidP="00734917">
      <w:pPr>
        <w:pStyle w:val="BodyA"/>
        <w:spacing w:after="200"/>
        <w:rPr>
          <w:rFonts w:cs="Times New Roman"/>
          <w:b/>
          <w:bCs/>
          <w:lang w:val="en-GB"/>
        </w:rPr>
      </w:pPr>
    </w:p>
    <w:p w14:paraId="6DE94F16" w14:textId="77777777" w:rsidR="00734917" w:rsidRDefault="00734917" w:rsidP="00734917">
      <w:pPr>
        <w:pStyle w:val="BodyA"/>
        <w:spacing w:after="200"/>
        <w:rPr>
          <w:rFonts w:cs="Times New Roman"/>
          <w:b/>
          <w:bCs/>
          <w:lang w:val="en-GB"/>
        </w:rPr>
      </w:pPr>
    </w:p>
    <w:p w14:paraId="2A8BE1E6" w14:textId="77777777" w:rsidR="00734917" w:rsidRDefault="00734917" w:rsidP="00734917">
      <w:pPr>
        <w:pStyle w:val="BodyA"/>
        <w:spacing w:after="200"/>
        <w:rPr>
          <w:rFonts w:cs="Times New Roman"/>
          <w:b/>
          <w:bCs/>
          <w:lang w:val="en-GB"/>
        </w:rPr>
      </w:pPr>
    </w:p>
    <w:p w14:paraId="53660567" w14:textId="77777777" w:rsidR="00734917" w:rsidRDefault="00734917" w:rsidP="00734917">
      <w:pPr>
        <w:pStyle w:val="BodyA"/>
        <w:spacing w:after="200"/>
        <w:rPr>
          <w:rFonts w:cs="Times New Roman"/>
          <w:b/>
          <w:bCs/>
          <w:lang w:val="en-GB"/>
        </w:rPr>
      </w:pPr>
    </w:p>
    <w:p w14:paraId="0BEA19E3" w14:textId="77777777" w:rsidR="00734917" w:rsidRPr="00AA370A" w:rsidRDefault="00734917" w:rsidP="00734917">
      <w:pPr>
        <w:pStyle w:val="BodyA"/>
        <w:spacing w:after="200"/>
        <w:rPr>
          <w:rFonts w:eastAsia="Arial" w:cs="Times New Roman"/>
          <w:b/>
          <w:bCs/>
          <w:lang w:val="en-GB"/>
        </w:rPr>
      </w:pPr>
      <w:r w:rsidRPr="00AA370A">
        <w:rPr>
          <w:rFonts w:cs="Times New Roman"/>
          <w:b/>
          <w:bCs/>
          <w:lang w:val="en-GB"/>
        </w:rPr>
        <w:t xml:space="preserve">Affiliations </w:t>
      </w:r>
    </w:p>
    <w:p w14:paraId="2EEFC84C" w14:textId="77777777" w:rsidR="00734917" w:rsidRDefault="00734917" w:rsidP="00734917">
      <w:pPr>
        <w:pStyle w:val="BodyA"/>
        <w:numPr>
          <w:ilvl w:val="0"/>
          <w:numId w:val="2"/>
        </w:numPr>
        <w:spacing w:after="200"/>
        <w:rPr>
          <w:rFonts w:cs="Times New Roman"/>
          <w:lang w:val="en-GB"/>
        </w:rPr>
      </w:pPr>
      <w:r w:rsidRPr="00AA370A">
        <w:rPr>
          <w:rFonts w:cs="Times New Roman"/>
          <w:lang w:val="en-GB"/>
        </w:rPr>
        <w:t>Department of Intensive Care Medicine, Amsterdam UMC, location AMC, Amsterdam, The Netherlands</w:t>
      </w:r>
    </w:p>
    <w:p w14:paraId="3FE3D33E" w14:textId="77777777" w:rsidR="00734917" w:rsidRPr="00AA370A" w:rsidRDefault="00734917" w:rsidP="00734917">
      <w:pPr>
        <w:pStyle w:val="BodyA"/>
        <w:numPr>
          <w:ilvl w:val="0"/>
          <w:numId w:val="2"/>
        </w:numPr>
        <w:spacing w:after="200"/>
        <w:rPr>
          <w:rFonts w:cs="Times New Roman"/>
          <w:lang w:val="en-GB"/>
        </w:rPr>
      </w:pPr>
      <w:r w:rsidRPr="00917D9B">
        <w:rPr>
          <w:rFonts w:eastAsia="Arial" w:cstheme="minorHAnsi"/>
        </w:rPr>
        <w:t>Center for Transfusion Medicine and Cellular Therapies, Department of Laboratory Medicine and Pathology, Emory University School of Medicine, Atlanta, GA</w:t>
      </w:r>
    </w:p>
    <w:p w14:paraId="222BBDE1" w14:textId="77777777" w:rsidR="00734917" w:rsidRPr="00AA370A" w:rsidRDefault="00734917" w:rsidP="00734917">
      <w:pPr>
        <w:pStyle w:val="BodyA"/>
        <w:spacing w:after="200" w:line="276" w:lineRule="auto"/>
        <w:rPr>
          <w:rFonts w:cs="Times New Roman"/>
          <w:b/>
          <w:bCs/>
          <w:lang w:val="en-GB"/>
        </w:rPr>
      </w:pPr>
    </w:p>
    <w:p w14:paraId="032017BD" w14:textId="77777777" w:rsidR="00734917" w:rsidRPr="00AA370A" w:rsidRDefault="00734917" w:rsidP="00734917">
      <w:pPr>
        <w:pStyle w:val="BodyA"/>
        <w:spacing w:after="200" w:line="276" w:lineRule="auto"/>
        <w:rPr>
          <w:rFonts w:cs="Times New Roman"/>
          <w:b/>
          <w:bCs/>
          <w:lang w:val="en-GB"/>
        </w:rPr>
      </w:pPr>
    </w:p>
    <w:p w14:paraId="013B6D94" w14:textId="77777777" w:rsidR="00734917" w:rsidRPr="00D95A0D" w:rsidRDefault="00734917" w:rsidP="00D95A0D">
      <w:pPr>
        <w:pStyle w:val="Geenafstand"/>
        <w:rPr>
          <w:rFonts w:ascii="Times New Roman" w:hAnsi="Times New Roman" w:cs="Times New Roman"/>
          <w:rPrChange w:id="0" w:author="Vlaar, A.P.J. (Alexander)" w:date="2019-09-08T15:52:00Z">
            <w:rPr>
              <w:rFonts w:eastAsia="Arial" w:cs="Times New Roman"/>
              <w:b/>
              <w:bCs/>
              <w:lang w:val="en-GB"/>
            </w:rPr>
          </w:rPrChange>
        </w:rPr>
        <w:pPrChange w:id="1" w:author="Vlaar, A.P.J. (Alexander)" w:date="2019-09-08T15:52:00Z">
          <w:pPr>
            <w:pStyle w:val="BodyA"/>
          </w:pPr>
        </w:pPrChange>
      </w:pPr>
      <w:r w:rsidRPr="00D95A0D">
        <w:rPr>
          <w:rFonts w:ascii="Times New Roman" w:hAnsi="Times New Roman" w:cs="Times New Roman"/>
          <w:rPrChange w:id="2" w:author="Vlaar, A.P.J. (Alexander)" w:date="2019-09-08T15:52:00Z">
            <w:rPr>
              <w:rFonts w:cs="Times New Roman"/>
              <w:b/>
              <w:bCs/>
              <w:lang w:val="en-GB"/>
            </w:rPr>
          </w:rPrChange>
        </w:rPr>
        <w:t>Correspondence:</w:t>
      </w:r>
    </w:p>
    <w:p w14:paraId="5FE777EB" w14:textId="77777777" w:rsidR="00734917" w:rsidRPr="00D95A0D" w:rsidRDefault="00734917" w:rsidP="00D95A0D">
      <w:pPr>
        <w:pStyle w:val="Geenafstand"/>
        <w:rPr>
          <w:rFonts w:ascii="Times New Roman" w:hAnsi="Times New Roman" w:cs="Times New Roman"/>
          <w:rPrChange w:id="3" w:author="Vlaar, A.P.J. (Alexander)" w:date="2019-09-08T15:52:00Z">
            <w:rPr>
              <w:rFonts w:eastAsia="Arial" w:cs="Times New Roman"/>
              <w:lang w:val="en-GB"/>
            </w:rPr>
          </w:rPrChange>
        </w:rPr>
        <w:pPrChange w:id="4" w:author="Vlaar, A.P.J. (Alexander)" w:date="2019-09-08T15:52:00Z">
          <w:pPr>
            <w:pStyle w:val="BodyA"/>
          </w:pPr>
        </w:pPrChange>
      </w:pPr>
      <w:r w:rsidRPr="00D95A0D">
        <w:rPr>
          <w:rFonts w:ascii="Times New Roman" w:hAnsi="Times New Roman" w:cs="Times New Roman"/>
          <w:rPrChange w:id="5" w:author="Vlaar, A.P.J. (Alexander)" w:date="2019-09-08T15:52:00Z">
            <w:rPr>
              <w:rFonts w:cs="Times New Roman"/>
              <w:lang w:val="en-GB"/>
            </w:rPr>
          </w:rPrChange>
        </w:rPr>
        <w:t xml:space="preserve">A.P.J. Vlaar, MD, PhD, MBA </w:t>
      </w:r>
    </w:p>
    <w:p w14:paraId="4DF06933" w14:textId="77777777" w:rsidR="00734917" w:rsidRPr="00D95A0D" w:rsidRDefault="00734917" w:rsidP="00D95A0D">
      <w:pPr>
        <w:pStyle w:val="Geenafstand"/>
        <w:rPr>
          <w:rFonts w:ascii="Times New Roman" w:hAnsi="Times New Roman" w:cs="Times New Roman"/>
          <w:rPrChange w:id="6" w:author="Vlaar, A.P.J. (Alexander)" w:date="2019-09-08T15:52:00Z">
            <w:rPr>
              <w:rFonts w:eastAsia="Arial" w:cs="Times New Roman"/>
              <w:lang w:val="en-GB"/>
            </w:rPr>
          </w:rPrChange>
        </w:rPr>
        <w:pPrChange w:id="7" w:author="Vlaar, A.P.J. (Alexander)" w:date="2019-09-08T15:52:00Z">
          <w:pPr>
            <w:pStyle w:val="BodyA"/>
          </w:pPr>
        </w:pPrChange>
      </w:pPr>
      <w:r w:rsidRPr="00D95A0D">
        <w:rPr>
          <w:rFonts w:ascii="Times New Roman" w:hAnsi="Times New Roman" w:cs="Times New Roman"/>
          <w:rPrChange w:id="8" w:author="Vlaar, A.P.J. (Alexander)" w:date="2019-09-08T15:52:00Z">
            <w:rPr>
              <w:rFonts w:cs="Times New Roman"/>
              <w:lang w:val="en-GB"/>
            </w:rPr>
          </w:rPrChange>
        </w:rPr>
        <w:t>Department of Intensive Care Medicine</w:t>
      </w:r>
    </w:p>
    <w:p w14:paraId="1B00B9C6" w14:textId="77777777" w:rsidR="00734917" w:rsidRPr="00D95A0D" w:rsidRDefault="00734917" w:rsidP="00D95A0D">
      <w:pPr>
        <w:pStyle w:val="Geenafstand"/>
        <w:rPr>
          <w:rFonts w:ascii="Times New Roman" w:hAnsi="Times New Roman" w:cs="Times New Roman"/>
          <w:rPrChange w:id="9" w:author="Vlaar, A.P.J. (Alexander)" w:date="2019-09-08T15:52:00Z">
            <w:rPr>
              <w:rFonts w:eastAsia="Arial" w:cs="Times New Roman"/>
              <w:lang w:val="en-GB"/>
            </w:rPr>
          </w:rPrChange>
        </w:rPr>
        <w:pPrChange w:id="10" w:author="Vlaar, A.P.J. (Alexander)" w:date="2019-09-08T15:52:00Z">
          <w:pPr>
            <w:pStyle w:val="BodyA"/>
          </w:pPr>
        </w:pPrChange>
      </w:pPr>
      <w:r w:rsidRPr="00D95A0D">
        <w:rPr>
          <w:rFonts w:ascii="Times New Roman" w:hAnsi="Times New Roman" w:cs="Times New Roman"/>
          <w:rPrChange w:id="11" w:author="Vlaar, A.P.J. (Alexander)" w:date="2019-09-08T15:52:00Z">
            <w:rPr>
              <w:rFonts w:cs="Times New Roman"/>
              <w:lang w:val="en-GB"/>
            </w:rPr>
          </w:rPrChange>
        </w:rPr>
        <w:t>Room, C3-430</w:t>
      </w:r>
    </w:p>
    <w:p w14:paraId="05E39828" w14:textId="77777777" w:rsidR="00734917" w:rsidRPr="00D95A0D" w:rsidRDefault="00734917" w:rsidP="00D95A0D">
      <w:pPr>
        <w:pStyle w:val="Geenafstand"/>
        <w:rPr>
          <w:rFonts w:ascii="Times New Roman" w:hAnsi="Times New Roman" w:cs="Times New Roman"/>
          <w:rPrChange w:id="12" w:author="Vlaar, A.P.J. (Alexander)" w:date="2019-09-08T15:52:00Z">
            <w:rPr>
              <w:rFonts w:eastAsia="Arial" w:cs="Times New Roman"/>
              <w:lang w:val="en-GB"/>
            </w:rPr>
          </w:rPrChange>
        </w:rPr>
        <w:pPrChange w:id="13" w:author="Vlaar, A.P.J. (Alexander)" w:date="2019-09-08T15:52:00Z">
          <w:pPr>
            <w:pStyle w:val="BodyA"/>
          </w:pPr>
        </w:pPrChange>
      </w:pPr>
      <w:proofErr w:type="spellStart"/>
      <w:r w:rsidRPr="00D95A0D">
        <w:rPr>
          <w:rFonts w:ascii="Times New Roman" w:hAnsi="Times New Roman" w:cs="Times New Roman"/>
          <w:rPrChange w:id="14" w:author="Vlaar, A.P.J. (Alexander)" w:date="2019-09-08T15:52:00Z">
            <w:rPr>
              <w:rFonts w:cs="Times New Roman"/>
              <w:lang w:val="en-GB"/>
            </w:rPr>
          </w:rPrChange>
        </w:rPr>
        <w:t>Meibergdreef</w:t>
      </w:r>
      <w:proofErr w:type="spellEnd"/>
      <w:r w:rsidRPr="00D95A0D">
        <w:rPr>
          <w:rFonts w:ascii="Times New Roman" w:hAnsi="Times New Roman" w:cs="Times New Roman"/>
          <w:rPrChange w:id="15" w:author="Vlaar, A.P.J. (Alexander)" w:date="2019-09-08T15:52:00Z">
            <w:rPr>
              <w:rFonts w:cs="Times New Roman"/>
              <w:lang w:val="en-GB"/>
            </w:rPr>
          </w:rPrChange>
        </w:rPr>
        <w:t xml:space="preserve"> 9 </w:t>
      </w:r>
    </w:p>
    <w:p w14:paraId="0750E4FE" w14:textId="77777777" w:rsidR="00734917" w:rsidRPr="00D95A0D" w:rsidRDefault="00734917" w:rsidP="00D95A0D">
      <w:pPr>
        <w:pStyle w:val="Geenafstand"/>
        <w:rPr>
          <w:rFonts w:ascii="Times New Roman" w:hAnsi="Times New Roman" w:cs="Times New Roman"/>
          <w:rPrChange w:id="16" w:author="Vlaar, A.P.J. (Alexander)" w:date="2019-09-08T15:52:00Z">
            <w:rPr>
              <w:rFonts w:eastAsia="Arial" w:cs="Times New Roman"/>
              <w:lang w:val="en-GB"/>
            </w:rPr>
          </w:rPrChange>
        </w:rPr>
        <w:pPrChange w:id="17" w:author="Vlaar, A.P.J. (Alexander)" w:date="2019-09-08T15:52:00Z">
          <w:pPr>
            <w:pStyle w:val="BodyA"/>
          </w:pPr>
        </w:pPrChange>
      </w:pPr>
      <w:r w:rsidRPr="00D95A0D">
        <w:rPr>
          <w:rFonts w:ascii="Times New Roman" w:hAnsi="Times New Roman" w:cs="Times New Roman"/>
          <w:rPrChange w:id="18" w:author="Vlaar, A.P.J. (Alexander)" w:date="2019-09-08T15:52:00Z">
            <w:rPr>
              <w:rFonts w:cs="Times New Roman"/>
              <w:lang w:val="en-GB"/>
            </w:rPr>
          </w:rPrChange>
        </w:rPr>
        <w:t>1105 AZ Amsterdam, the Netherlands</w:t>
      </w:r>
    </w:p>
    <w:p w14:paraId="456D8910" w14:textId="77777777" w:rsidR="00734917" w:rsidRPr="00D95A0D" w:rsidRDefault="00734917" w:rsidP="00D95A0D">
      <w:pPr>
        <w:pStyle w:val="Geenafstand"/>
        <w:rPr>
          <w:rFonts w:ascii="Times New Roman" w:hAnsi="Times New Roman" w:cs="Times New Roman"/>
          <w:rPrChange w:id="19" w:author="Vlaar, A.P.J. (Alexander)" w:date="2019-09-08T15:52:00Z">
            <w:rPr>
              <w:rFonts w:eastAsia="Arial" w:cs="Times New Roman"/>
              <w:lang w:val="en-GB"/>
            </w:rPr>
          </w:rPrChange>
        </w:rPr>
        <w:pPrChange w:id="20" w:author="Vlaar, A.P.J. (Alexander)" w:date="2019-09-08T15:52:00Z">
          <w:pPr>
            <w:pStyle w:val="BodyA"/>
          </w:pPr>
        </w:pPrChange>
      </w:pPr>
      <w:r w:rsidRPr="00D95A0D">
        <w:rPr>
          <w:rFonts w:ascii="Times New Roman" w:hAnsi="Times New Roman" w:cs="Times New Roman"/>
          <w:rPrChange w:id="21" w:author="Vlaar, A.P.J. (Alexander)" w:date="2019-09-08T15:52:00Z">
            <w:rPr>
              <w:rFonts w:cs="Times New Roman"/>
              <w:lang w:val="en-GB"/>
            </w:rPr>
          </w:rPrChange>
        </w:rPr>
        <w:t xml:space="preserve">Telephone: </w:t>
      </w:r>
      <w:r w:rsidRPr="00D95A0D">
        <w:rPr>
          <w:rFonts w:ascii="Times New Roman" w:hAnsi="Times New Roman" w:cs="Times New Roman"/>
          <w:rPrChange w:id="22" w:author="Vlaar, A.P.J. (Alexander)" w:date="2019-09-08T15:52:00Z">
            <w:rPr>
              <w:rFonts w:cs="Times New Roman"/>
              <w:lang w:val="en-GB"/>
            </w:rPr>
          </w:rPrChange>
        </w:rPr>
        <w:tab/>
        <w:t>00-31-20-5669111</w:t>
      </w:r>
    </w:p>
    <w:p w14:paraId="16300BC6" w14:textId="77777777" w:rsidR="00734917" w:rsidRPr="00D95A0D" w:rsidRDefault="00734917" w:rsidP="00D95A0D">
      <w:pPr>
        <w:pStyle w:val="Geenafstand"/>
        <w:rPr>
          <w:rFonts w:ascii="Times New Roman" w:hAnsi="Times New Roman" w:cs="Times New Roman"/>
          <w:rPrChange w:id="23" w:author="Vlaar, A.P.J. (Alexander)" w:date="2019-09-08T15:52:00Z">
            <w:rPr>
              <w:rFonts w:eastAsia="Arial" w:cs="Times New Roman"/>
              <w:lang w:val="en-GB"/>
            </w:rPr>
          </w:rPrChange>
        </w:rPr>
        <w:pPrChange w:id="24" w:author="Vlaar, A.P.J. (Alexander)" w:date="2019-09-08T15:52:00Z">
          <w:pPr>
            <w:pStyle w:val="BodyA"/>
          </w:pPr>
        </w:pPrChange>
      </w:pPr>
      <w:r w:rsidRPr="00D95A0D">
        <w:rPr>
          <w:rFonts w:ascii="Times New Roman" w:hAnsi="Times New Roman" w:cs="Times New Roman"/>
          <w:rPrChange w:id="25" w:author="Vlaar, A.P.J. (Alexander)" w:date="2019-09-08T15:52:00Z">
            <w:rPr>
              <w:rFonts w:cs="Times New Roman"/>
              <w:lang w:val="en-GB"/>
            </w:rPr>
          </w:rPrChange>
        </w:rPr>
        <w:t xml:space="preserve">Fax: </w:t>
      </w:r>
      <w:r w:rsidRPr="00D95A0D">
        <w:rPr>
          <w:rFonts w:ascii="Times New Roman" w:hAnsi="Times New Roman" w:cs="Times New Roman"/>
          <w:rPrChange w:id="26" w:author="Vlaar, A.P.J. (Alexander)" w:date="2019-09-08T15:52:00Z">
            <w:rPr>
              <w:rFonts w:cs="Times New Roman"/>
              <w:lang w:val="en-GB"/>
            </w:rPr>
          </w:rPrChange>
        </w:rPr>
        <w:tab/>
      </w:r>
      <w:r w:rsidRPr="00D95A0D">
        <w:rPr>
          <w:rFonts w:ascii="Times New Roman" w:hAnsi="Times New Roman" w:cs="Times New Roman"/>
          <w:rPrChange w:id="27" w:author="Vlaar, A.P.J. (Alexander)" w:date="2019-09-08T15:52:00Z">
            <w:rPr>
              <w:rFonts w:cs="Times New Roman"/>
              <w:lang w:val="en-GB"/>
            </w:rPr>
          </w:rPrChange>
        </w:rPr>
        <w:tab/>
        <w:t>00-31-20-5669568</w:t>
      </w:r>
    </w:p>
    <w:p w14:paraId="4C40600E" w14:textId="77777777" w:rsidR="00734917" w:rsidRPr="00D95A0D" w:rsidRDefault="00734917" w:rsidP="00D95A0D">
      <w:pPr>
        <w:pStyle w:val="Geenafstand"/>
        <w:rPr>
          <w:rFonts w:ascii="Times New Roman" w:hAnsi="Times New Roman" w:cs="Times New Roman"/>
          <w:rPrChange w:id="28" w:author="Vlaar, A.P.J. (Alexander)" w:date="2019-09-08T15:52:00Z">
            <w:rPr>
              <w:rStyle w:val="None"/>
              <w:rFonts w:eastAsia="Arial" w:cs="Times New Roman"/>
              <w:lang w:val="en-GB"/>
            </w:rPr>
          </w:rPrChange>
        </w:rPr>
        <w:pPrChange w:id="29" w:author="Vlaar, A.P.J. (Alexander)" w:date="2019-09-08T15:52:00Z">
          <w:pPr>
            <w:pStyle w:val="BodyA"/>
          </w:pPr>
        </w:pPrChange>
      </w:pPr>
      <w:r w:rsidRPr="00D95A0D">
        <w:rPr>
          <w:rFonts w:ascii="Times New Roman" w:hAnsi="Times New Roman" w:cs="Times New Roman"/>
          <w:rPrChange w:id="30" w:author="Vlaar, A.P.J. (Alexander)" w:date="2019-09-08T15:52:00Z">
            <w:rPr>
              <w:rFonts w:cs="Times New Roman"/>
              <w:lang w:val="en-GB"/>
            </w:rPr>
          </w:rPrChange>
        </w:rPr>
        <w:t xml:space="preserve">E-mail: </w:t>
      </w:r>
      <w:r w:rsidRPr="00D95A0D">
        <w:rPr>
          <w:rFonts w:ascii="Times New Roman" w:hAnsi="Times New Roman" w:cs="Times New Roman"/>
          <w:rPrChange w:id="31" w:author="Vlaar, A.P.J. (Alexander)" w:date="2019-09-08T15:52:00Z">
            <w:rPr>
              <w:rFonts w:cs="Times New Roman"/>
              <w:lang w:val="en-GB"/>
            </w:rPr>
          </w:rPrChange>
        </w:rPr>
        <w:tab/>
      </w:r>
      <w:r w:rsidR="000F0F5A" w:rsidRPr="00D95A0D">
        <w:rPr>
          <w:rFonts w:ascii="Times New Roman" w:hAnsi="Times New Roman" w:cs="Times New Roman"/>
          <w:rPrChange w:id="32" w:author="Vlaar, A.P.J. (Alexander)" w:date="2019-09-08T15:52:00Z">
            <w:rPr/>
          </w:rPrChange>
        </w:rPr>
        <w:fldChar w:fldCharType="begin"/>
      </w:r>
      <w:r w:rsidR="000F0F5A" w:rsidRPr="00D95A0D">
        <w:rPr>
          <w:rFonts w:ascii="Times New Roman" w:hAnsi="Times New Roman" w:cs="Times New Roman"/>
          <w:rPrChange w:id="33" w:author="Vlaar, A.P.J. (Alexander)" w:date="2019-09-08T15:52:00Z">
            <w:rPr/>
          </w:rPrChange>
        </w:rPr>
        <w:instrText xml:space="preserve"> HYPERLINK "mailto:a.p.vlaar@amc.uva.nl" </w:instrText>
      </w:r>
      <w:r w:rsidR="000F0F5A" w:rsidRPr="00D95A0D">
        <w:rPr>
          <w:rFonts w:ascii="Times New Roman" w:hAnsi="Times New Roman" w:cs="Times New Roman"/>
          <w:rPrChange w:id="34" w:author="Vlaar, A.P.J. (Alexander)" w:date="2019-09-08T15:52:00Z">
            <w:rPr/>
          </w:rPrChange>
        </w:rPr>
        <w:fldChar w:fldCharType="separate"/>
      </w:r>
      <w:r w:rsidRPr="00D95A0D">
        <w:rPr>
          <w:rFonts w:ascii="Times New Roman" w:hAnsi="Times New Roman" w:cs="Times New Roman"/>
          <w:rPrChange w:id="35" w:author="Vlaar, A.P.J. (Alexander)" w:date="2019-09-08T15:52:00Z">
            <w:rPr>
              <w:rStyle w:val="Hyperlink0"/>
              <w:rFonts w:cs="Times New Roman"/>
              <w:lang w:val="en-GB"/>
            </w:rPr>
          </w:rPrChange>
        </w:rPr>
        <w:t>a.p.vlaar@amc.uva.nl</w:t>
      </w:r>
      <w:r w:rsidR="000F0F5A" w:rsidRPr="00D95A0D">
        <w:rPr>
          <w:rFonts w:ascii="Times New Roman" w:hAnsi="Times New Roman" w:cs="Times New Roman"/>
          <w:rPrChange w:id="36" w:author="Vlaar, A.P.J. (Alexander)" w:date="2019-09-08T15:52:00Z">
            <w:rPr>
              <w:rStyle w:val="Hyperlink0"/>
              <w:rFonts w:cs="Times New Roman"/>
              <w:lang w:val="en-GB"/>
            </w:rPr>
          </w:rPrChange>
        </w:rPr>
        <w:fldChar w:fldCharType="end"/>
      </w:r>
      <w:r w:rsidRPr="00D95A0D">
        <w:rPr>
          <w:rFonts w:ascii="Times New Roman" w:hAnsi="Times New Roman" w:cs="Times New Roman"/>
          <w:rPrChange w:id="37" w:author="Vlaar, A.P.J. (Alexander)" w:date="2019-09-08T15:52:00Z">
            <w:rPr>
              <w:rStyle w:val="None"/>
              <w:rFonts w:cs="Times New Roman"/>
              <w:lang w:val="en-GB"/>
            </w:rPr>
          </w:rPrChange>
        </w:rPr>
        <w:t xml:space="preserve"> </w:t>
      </w:r>
    </w:p>
    <w:p w14:paraId="5CB1CA9B" w14:textId="77777777" w:rsidR="00734917" w:rsidRPr="00D95A0D" w:rsidRDefault="00734917" w:rsidP="00D95A0D">
      <w:pPr>
        <w:pStyle w:val="Geenafstand"/>
        <w:rPr>
          <w:rFonts w:ascii="Times New Roman" w:hAnsi="Times New Roman" w:cs="Times New Roman"/>
          <w:rPrChange w:id="38" w:author="Vlaar, A.P.J. (Alexander)" w:date="2019-09-08T15:52:00Z">
            <w:rPr>
              <w:rStyle w:val="None"/>
              <w:rFonts w:ascii="Times New Roman" w:eastAsia="Arial" w:hAnsi="Times New Roman" w:cs="Times New Roman"/>
              <w:b/>
              <w:bCs/>
              <w:color w:val="000000"/>
              <w:u w:color="000000"/>
              <w:bdr w:val="nil"/>
              <w:lang w:val="en-GB"/>
            </w:rPr>
          </w:rPrChange>
        </w:rPr>
        <w:pPrChange w:id="39" w:author="Vlaar, A.P.J. (Alexander)" w:date="2019-09-08T15:52:00Z">
          <w:pPr>
            <w:jc w:val="both"/>
          </w:pPr>
        </w:pPrChange>
      </w:pPr>
    </w:p>
    <w:p w14:paraId="2BB68E20" w14:textId="77777777" w:rsidR="00734917" w:rsidRPr="00D95A0D" w:rsidRDefault="00734917" w:rsidP="00D95A0D">
      <w:pPr>
        <w:pStyle w:val="Geenafstand"/>
        <w:rPr>
          <w:rFonts w:ascii="Times New Roman" w:hAnsi="Times New Roman" w:cs="Times New Roman"/>
        </w:rPr>
        <w:pPrChange w:id="40" w:author="Vlaar, A.P.J. (Alexander)" w:date="2019-09-08T15:52:00Z">
          <w:pPr>
            <w:jc w:val="both"/>
          </w:pPr>
        </w:pPrChange>
      </w:pPr>
      <w:r w:rsidRPr="00D95A0D">
        <w:rPr>
          <w:rFonts w:ascii="Times New Roman" w:hAnsi="Times New Roman" w:cs="Times New Roman"/>
        </w:rPr>
        <w:t>Sean R. Stowell, MD, PhD</w:t>
      </w:r>
    </w:p>
    <w:p w14:paraId="15773818" w14:textId="77777777" w:rsidR="00734917" w:rsidRPr="00D95A0D" w:rsidRDefault="00734917" w:rsidP="00D95A0D">
      <w:pPr>
        <w:pStyle w:val="Geenafstand"/>
        <w:rPr>
          <w:rFonts w:ascii="Times New Roman" w:hAnsi="Times New Roman" w:cs="Times New Roman"/>
          <w:rPrChange w:id="41" w:author="Vlaar, A.P.J. (Alexander)" w:date="2019-09-08T15:52:00Z">
            <w:rPr>
              <w:rFonts w:ascii="Times New Roman" w:eastAsia="Arial" w:hAnsi="Times New Roman" w:cs="Times New Roman"/>
            </w:rPr>
          </w:rPrChange>
        </w:rPr>
        <w:pPrChange w:id="42" w:author="Vlaar, A.P.J. (Alexander)" w:date="2019-09-08T15:52:00Z">
          <w:pPr>
            <w:jc w:val="both"/>
          </w:pPr>
        </w:pPrChange>
      </w:pPr>
      <w:r w:rsidRPr="00D95A0D">
        <w:rPr>
          <w:rFonts w:ascii="Times New Roman" w:hAnsi="Times New Roman" w:cs="Times New Roman"/>
          <w:rPrChange w:id="43" w:author="Vlaar, A.P.J. (Alexander)" w:date="2019-09-08T15:52:00Z">
            <w:rPr>
              <w:rFonts w:ascii="Times New Roman" w:eastAsia="Arial" w:hAnsi="Times New Roman" w:cs="Times New Roman"/>
            </w:rPr>
          </w:rPrChange>
        </w:rPr>
        <w:t>Center for Transfusion Medicine and Cellular Therapies</w:t>
      </w:r>
    </w:p>
    <w:p w14:paraId="19AFBBBA" w14:textId="77777777" w:rsidR="00734917" w:rsidRPr="00D95A0D" w:rsidRDefault="00734917" w:rsidP="00D95A0D">
      <w:pPr>
        <w:pStyle w:val="Geenafstand"/>
        <w:rPr>
          <w:rFonts w:ascii="Times New Roman" w:hAnsi="Times New Roman" w:cs="Times New Roman"/>
          <w:rPrChange w:id="44" w:author="Vlaar, A.P.J. (Alexander)" w:date="2019-09-08T15:52:00Z">
            <w:rPr>
              <w:rFonts w:ascii="Times New Roman" w:eastAsia="Arial" w:hAnsi="Times New Roman" w:cs="Times New Roman"/>
            </w:rPr>
          </w:rPrChange>
        </w:rPr>
        <w:pPrChange w:id="45" w:author="Vlaar, A.P.J. (Alexander)" w:date="2019-09-08T15:52:00Z">
          <w:pPr>
            <w:jc w:val="both"/>
          </w:pPr>
        </w:pPrChange>
      </w:pPr>
      <w:r w:rsidRPr="00D95A0D">
        <w:rPr>
          <w:rFonts w:ascii="Times New Roman" w:hAnsi="Times New Roman" w:cs="Times New Roman"/>
          <w:rPrChange w:id="46" w:author="Vlaar, A.P.J. (Alexander)" w:date="2019-09-08T15:52:00Z">
            <w:rPr>
              <w:rFonts w:ascii="Times New Roman" w:eastAsia="Arial" w:hAnsi="Times New Roman" w:cs="Times New Roman"/>
            </w:rPr>
          </w:rPrChange>
        </w:rPr>
        <w:t xml:space="preserve">Department of Laboratory Medicine and Pathology </w:t>
      </w:r>
    </w:p>
    <w:p w14:paraId="05C17B3B" w14:textId="77777777" w:rsidR="00734917" w:rsidRPr="00D95A0D" w:rsidRDefault="00734917" w:rsidP="00D95A0D">
      <w:pPr>
        <w:pStyle w:val="Geenafstand"/>
        <w:rPr>
          <w:rFonts w:ascii="Times New Roman" w:hAnsi="Times New Roman" w:cs="Times New Roman"/>
          <w:rPrChange w:id="47" w:author="Vlaar, A.P.J. (Alexander)" w:date="2019-09-08T15:52:00Z">
            <w:rPr>
              <w:rFonts w:ascii="Times New Roman" w:eastAsia="Arial" w:hAnsi="Times New Roman" w:cs="Times New Roman"/>
            </w:rPr>
          </w:rPrChange>
        </w:rPr>
        <w:pPrChange w:id="48" w:author="Vlaar, A.P.J. (Alexander)" w:date="2019-09-08T15:52:00Z">
          <w:pPr>
            <w:jc w:val="both"/>
          </w:pPr>
        </w:pPrChange>
      </w:pPr>
      <w:r w:rsidRPr="00D95A0D">
        <w:rPr>
          <w:rFonts w:ascii="Times New Roman" w:hAnsi="Times New Roman" w:cs="Times New Roman"/>
          <w:rPrChange w:id="49" w:author="Vlaar, A.P.J. (Alexander)" w:date="2019-09-08T15:52:00Z">
            <w:rPr>
              <w:rFonts w:ascii="Times New Roman" w:eastAsia="Arial" w:hAnsi="Times New Roman" w:cs="Times New Roman"/>
            </w:rPr>
          </w:rPrChange>
        </w:rPr>
        <w:t>Room, 105M</w:t>
      </w:r>
    </w:p>
    <w:p w14:paraId="6AA143CC" w14:textId="77777777" w:rsidR="00734917" w:rsidRPr="00D95A0D" w:rsidRDefault="00734917" w:rsidP="00D95A0D">
      <w:pPr>
        <w:pStyle w:val="Geenafstand"/>
        <w:rPr>
          <w:rFonts w:ascii="Times New Roman" w:hAnsi="Times New Roman" w:cs="Times New Roman"/>
          <w:rPrChange w:id="50" w:author="Vlaar, A.P.J. (Alexander)" w:date="2019-09-08T15:52:00Z">
            <w:rPr>
              <w:rFonts w:ascii="Times New Roman" w:eastAsia="Arial" w:hAnsi="Times New Roman" w:cs="Times New Roman"/>
            </w:rPr>
          </w:rPrChange>
        </w:rPr>
        <w:pPrChange w:id="51" w:author="Vlaar, A.P.J. (Alexander)" w:date="2019-09-08T15:52:00Z">
          <w:pPr>
            <w:jc w:val="both"/>
          </w:pPr>
        </w:pPrChange>
      </w:pPr>
      <w:r w:rsidRPr="00D95A0D">
        <w:rPr>
          <w:rFonts w:ascii="Times New Roman" w:hAnsi="Times New Roman" w:cs="Times New Roman"/>
          <w:rPrChange w:id="52" w:author="Vlaar, A.P.J. (Alexander)" w:date="2019-09-08T15:52:00Z">
            <w:rPr>
              <w:rFonts w:ascii="Times New Roman" w:eastAsia="Arial" w:hAnsi="Times New Roman" w:cs="Times New Roman"/>
            </w:rPr>
          </w:rPrChange>
        </w:rPr>
        <w:t>615 Michael Street, Atlanta, GA 30322</w:t>
      </w:r>
    </w:p>
    <w:p w14:paraId="47B2E03F" w14:textId="77777777" w:rsidR="00734917" w:rsidRPr="00D95A0D" w:rsidRDefault="00734917" w:rsidP="00D95A0D">
      <w:pPr>
        <w:pStyle w:val="Geenafstand"/>
        <w:rPr>
          <w:rFonts w:ascii="Times New Roman" w:hAnsi="Times New Roman" w:cs="Times New Roman"/>
          <w:rPrChange w:id="53" w:author="Vlaar, A.P.J. (Alexander)" w:date="2019-09-08T15:52:00Z">
            <w:rPr>
              <w:rFonts w:ascii="Times New Roman" w:eastAsia="Arial" w:hAnsi="Times New Roman" w:cs="Times New Roman"/>
            </w:rPr>
          </w:rPrChange>
        </w:rPr>
        <w:pPrChange w:id="54" w:author="Vlaar, A.P.J. (Alexander)" w:date="2019-09-08T15:52:00Z">
          <w:pPr>
            <w:jc w:val="both"/>
          </w:pPr>
        </w:pPrChange>
      </w:pPr>
      <w:r w:rsidRPr="00D95A0D">
        <w:rPr>
          <w:rFonts w:ascii="Times New Roman" w:hAnsi="Times New Roman" w:cs="Times New Roman"/>
          <w:rPrChange w:id="55" w:author="Vlaar, A.P.J. (Alexander)" w:date="2019-09-08T15:52:00Z">
            <w:rPr>
              <w:rFonts w:ascii="Times New Roman" w:eastAsia="Arial" w:hAnsi="Times New Roman" w:cs="Times New Roman"/>
            </w:rPr>
          </w:rPrChange>
        </w:rPr>
        <w:t>Telephone: 404-727-7242</w:t>
      </w:r>
    </w:p>
    <w:p w14:paraId="3451A362" w14:textId="77777777" w:rsidR="00734917" w:rsidRPr="00D95A0D" w:rsidRDefault="00734917" w:rsidP="00D95A0D">
      <w:pPr>
        <w:pStyle w:val="Geenafstand"/>
        <w:rPr>
          <w:rFonts w:ascii="Times New Roman" w:hAnsi="Times New Roman" w:cs="Times New Roman"/>
        </w:rPr>
        <w:pPrChange w:id="56" w:author="Vlaar, A.P.J. (Alexander)" w:date="2019-09-08T15:52:00Z">
          <w:pPr>
            <w:jc w:val="both"/>
          </w:pPr>
        </w:pPrChange>
      </w:pPr>
      <w:r w:rsidRPr="00D95A0D">
        <w:rPr>
          <w:rFonts w:ascii="Times New Roman" w:hAnsi="Times New Roman" w:cs="Times New Roman"/>
          <w:rPrChange w:id="57" w:author="Vlaar, A.P.J. (Alexander)" w:date="2019-09-08T15:52:00Z">
            <w:rPr>
              <w:rFonts w:ascii="Times New Roman" w:eastAsia="Arial" w:hAnsi="Times New Roman" w:cs="Times New Roman"/>
            </w:rPr>
          </w:rPrChange>
        </w:rPr>
        <w:t xml:space="preserve">Email: </w:t>
      </w:r>
      <w:r w:rsidR="000F0F5A" w:rsidRPr="00D95A0D">
        <w:rPr>
          <w:rFonts w:ascii="Times New Roman" w:hAnsi="Times New Roman" w:cs="Times New Roman"/>
          <w:rPrChange w:id="58" w:author="Vlaar, A.P.J. (Alexander)" w:date="2019-09-08T15:52:00Z">
            <w:rPr/>
          </w:rPrChange>
        </w:rPr>
        <w:fldChar w:fldCharType="begin"/>
      </w:r>
      <w:r w:rsidR="000F0F5A" w:rsidRPr="00D95A0D">
        <w:rPr>
          <w:rFonts w:ascii="Times New Roman" w:hAnsi="Times New Roman" w:cs="Times New Roman"/>
          <w:rPrChange w:id="59" w:author="Vlaar, A.P.J. (Alexander)" w:date="2019-09-08T15:52:00Z">
            <w:rPr/>
          </w:rPrChange>
        </w:rPr>
        <w:instrText xml:space="preserve"> HYPERLINK "mailto:jgalipe@emory.edu" \h </w:instrText>
      </w:r>
      <w:r w:rsidR="000F0F5A" w:rsidRPr="00D95A0D">
        <w:rPr>
          <w:rFonts w:ascii="Times New Roman" w:hAnsi="Times New Roman" w:cs="Times New Roman"/>
          <w:rPrChange w:id="60" w:author="Vlaar, A.P.J. (Alexander)" w:date="2019-09-08T15:52:00Z">
            <w:rPr/>
          </w:rPrChange>
        </w:rPr>
        <w:fldChar w:fldCharType="separate"/>
      </w:r>
      <w:r w:rsidRPr="00D95A0D">
        <w:rPr>
          <w:rFonts w:ascii="Times New Roman" w:hAnsi="Times New Roman" w:cs="Times New Roman"/>
          <w:color w:val="000000"/>
          <w:rPrChange w:id="61" w:author="Vlaar, A.P.J. (Alexander)" w:date="2019-09-08T15:52:00Z">
            <w:rPr>
              <w:rStyle w:val="Hyperlink"/>
              <w:rFonts w:ascii="Times New Roman" w:eastAsia="Arial" w:hAnsi="Times New Roman" w:cs="Times New Roman"/>
            </w:rPr>
          </w:rPrChange>
        </w:rPr>
        <w:t>srstowe@emory.edu</w:t>
      </w:r>
      <w:r w:rsidR="000F0F5A" w:rsidRPr="00D95A0D">
        <w:rPr>
          <w:rFonts w:ascii="Times New Roman" w:hAnsi="Times New Roman" w:cs="Times New Roman"/>
          <w:color w:val="000000"/>
          <w:rPrChange w:id="62" w:author="Vlaar, A.P.J. (Alexander)" w:date="2019-09-08T15:52:00Z">
            <w:rPr>
              <w:rStyle w:val="Hyperlink"/>
              <w:rFonts w:ascii="Times New Roman" w:eastAsia="Arial" w:hAnsi="Times New Roman" w:cs="Times New Roman"/>
            </w:rPr>
          </w:rPrChange>
        </w:rPr>
        <w:fldChar w:fldCharType="end"/>
      </w:r>
      <w:r w:rsidRPr="00D95A0D">
        <w:rPr>
          <w:rFonts w:ascii="Times New Roman" w:hAnsi="Times New Roman" w:cs="Times New Roman"/>
        </w:rPr>
        <w:t xml:space="preserve"> </w:t>
      </w:r>
    </w:p>
    <w:p w14:paraId="151D92BA" w14:textId="77777777" w:rsidR="001B4136" w:rsidRDefault="001B4136" w:rsidP="001B4136">
      <w:pPr>
        <w:pStyle w:val="BodyA"/>
        <w:spacing w:after="200" w:line="276" w:lineRule="auto"/>
        <w:rPr>
          <w:rStyle w:val="None"/>
          <w:rFonts w:eastAsia="Arial" w:cs="Times New Roman"/>
          <w:b/>
          <w:bCs/>
          <w:lang w:val="en-GB"/>
        </w:rPr>
      </w:pPr>
    </w:p>
    <w:p w14:paraId="2157D4D1" w14:textId="553E2D5C" w:rsidR="001B4136" w:rsidRPr="00AA370A" w:rsidRDefault="001B4136" w:rsidP="001B4136">
      <w:pPr>
        <w:pStyle w:val="BodyA"/>
        <w:spacing w:after="200" w:line="276" w:lineRule="auto"/>
        <w:rPr>
          <w:rStyle w:val="None"/>
          <w:rFonts w:eastAsia="Arial" w:cs="Times New Roman"/>
          <w:lang w:val="en-GB"/>
        </w:rPr>
      </w:pPr>
      <w:r w:rsidRPr="00AA370A">
        <w:rPr>
          <w:rStyle w:val="None"/>
          <w:rFonts w:cs="Times New Roman"/>
          <w:b/>
          <w:bCs/>
          <w:lang w:val="en-GB"/>
        </w:rPr>
        <w:lastRenderedPageBreak/>
        <w:t>Conflict of interest</w:t>
      </w:r>
      <w:r w:rsidRPr="00AA370A">
        <w:rPr>
          <w:rStyle w:val="None"/>
          <w:rFonts w:cs="Times New Roman"/>
          <w:lang w:val="en-GB"/>
        </w:rPr>
        <w:t>: none</w:t>
      </w:r>
    </w:p>
    <w:p w14:paraId="1006A37D" w14:textId="77777777" w:rsidR="001B4136" w:rsidRDefault="001B4136" w:rsidP="001B4136">
      <w:pPr>
        <w:rPr>
          <w:rStyle w:val="None"/>
          <w:rFonts w:ascii="Times New Roman" w:hAnsi="Times New Roman" w:cs="Times New Roman"/>
          <w:b/>
          <w:bCs/>
          <w:lang w:val="en-GB"/>
        </w:rPr>
      </w:pPr>
    </w:p>
    <w:p w14:paraId="418C15D7" w14:textId="13C32E12" w:rsidR="001B4136" w:rsidRDefault="001B4136" w:rsidP="001B4136">
      <w:pPr>
        <w:rPr>
          <w:rStyle w:val="None"/>
          <w:rFonts w:ascii="Times New Roman" w:hAnsi="Times New Roman" w:cs="Times New Roman"/>
          <w:lang w:val="en-GB"/>
        </w:rPr>
      </w:pPr>
      <w:r w:rsidRPr="00AA370A">
        <w:rPr>
          <w:rStyle w:val="None"/>
          <w:rFonts w:ascii="Times New Roman" w:hAnsi="Times New Roman" w:cs="Times New Roman"/>
          <w:b/>
          <w:bCs/>
          <w:lang w:val="en-GB"/>
        </w:rPr>
        <w:t>Alternate running title:</w:t>
      </w:r>
      <w:r w:rsidRPr="00AA370A">
        <w:rPr>
          <w:rStyle w:val="None"/>
          <w:rFonts w:ascii="Times New Roman" w:hAnsi="Times New Roman" w:cs="Times New Roman"/>
          <w:lang w:val="en-GB"/>
        </w:rPr>
        <w:t xml:space="preserve"> </w:t>
      </w:r>
      <w:r>
        <w:rPr>
          <w:rStyle w:val="None"/>
          <w:rFonts w:ascii="Times New Roman" w:hAnsi="Times New Roman" w:cs="Times New Roman"/>
          <w:lang w:val="en-GB"/>
        </w:rPr>
        <w:t>Complement and Transfusion Medicine</w:t>
      </w:r>
    </w:p>
    <w:p w14:paraId="41CB1472" w14:textId="77777777" w:rsidR="00734917" w:rsidRDefault="00734917" w:rsidP="001B4136">
      <w:pPr>
        <w:rPr>
          <w:rStyle w:val="None"/>
          <w:rFonts w:ascii="Times New Roman" w:hAnsi="Times New Roman" w:cs="Times New Roman"/>
          <w:lang w:val="en-GB"/>
        </w:rPr>
      </w:pPr>
    </w:p>
    <w:p w14:paraId="41DB306A" w14:textId="77777777" w:rsidR="001B4136" w:rsidRPr="00AA370A" w:rsidRDefault="001B4136" w:rsidP="001B4136">
      <w:pPr>
        <w:rPr>
          <w:rFonts w:ascii="Times New Roman" w:eastAsia="Times New Roman" w:hAnsi="Times New Roman" w:cs="Times New Roman"/>
          <w:color w:val="000000"/>
        </w:rPr>
      </w:pPr>
    </w:p>
    <w:p w14:paraId="362EB09F" w14:textId="1888A5DB" w:rsidR="001B4136" w:rsidRPr="00AA370A" w:rsidRDefault="001B4136" w:rsidP="001B4136">
      <w:pPr>
        <w:pStyle w:val="p"/>
        <w:spacing w:before="166" w:beforeAutospacing="0" w:after="166" w:afterAutospacing="0" w:line="480" w:lineRule="auto"/>
        <w:ind w:firstLine="720"/>
        <w:rPr>
          <w:color w:val="000000"/>
        </w:rPr>
      </w:pPr>
      <w:r w:rsidRPr="00AA370A">
        <w:rPr>
          <w:color w:val="000000"/>
        </w:rPr>
        <w:t>Early attempts to understand immunity demonstrated that both cellular and serological factors provide protection against pathogen re-challenge</w:t>
      </w:r>
      <w:r w:rsidRPr="00AA370A">
        <w:rPr>
          <w:color w:val="000000"/>
        </w:rPr>
        <w:fldChar w:fldCharType="begin"/>
      </w:r>
      <w:r w:rsidR="00734917">
        <w:rPr>
          <w:color w:val="000000"/>
        </w:rPr>
        <w:instrText xml:space="preserve"> ADDIN EN.CITE &lt;EndNote&gt;&lt;Cite&gt;&lt;Author&gt;Silverstein&lt;/Author&gt;&lt;Year&gt;1980&lt;/Year&gt;&lt;RecNum&gt;318&lt;/RecNum&gt;&lt;DisplayText&gt;[1]&lt;/DisplayText&gt;&lt;record&gt;&lt;rec-number&gt;318&lt;/rec-number&gt;&lt;foreign-keys&gt;&lt;key app="EN" db-id="aaed22pv5srr06eaptvvsvxx259af50vrpf2" timestamp="1523621110"&gt;318&lt;/key&gt;&lt;/foreign-keys&gt;&lt;ref-type name="Journal Article"&gt;17&lt;/ref-type&gt;&lt;contributors&gt;&lt;authors&gt;&lt;author&gt;Silverstein, A. M.&lt;/author&gt;&lt;author&gt;Bialasiewicz, A. A.&lt;/author&gt;&lt;/authors&gt;&lt;/contributors&gt;&lt;titles&gt;&lt;title&gt;History of immunology. A history of theories of acquired immunity&lt;/title&gt;&lt;secondary-title&gt;Cell Immunol&lt;/secondary-title&gt;&lt;/titles&gt;&lt;periodical&gt;&lt;full-title&gt;Cell Immunol&lt;/full-title&gt;&lt;/periodical&gt;&lt;pages&gt;151-67&lt;/pages&gt;&lt;volume&gt;51&lt;/volume&gt;&lt;number&gt;1&lt;/number&gt;&lt;edition&gt;1980/04/01&lt;/edition&gt;&lt;keywords&gt;&lt;keyword&gt;Allergy and Immunology/*history&lt;/keyword&gt;&lt;keyword&gt;Blood Bactericidal Activity&lt;/keyword&gt;&lt;keyword&gt;History, 15th Century&lt;/keyword&gt;&lt;keyword&gt;History, 16th Century&lt;/keyword&gt;&lt;keyword&gt;History, 17th Century&lt;/keyword&gt;&lt;keyword&gt;History, 18th Century&lt;/keyword&gt;&lt;keyword&gt;History, 19th Century&lt;/keyword&gt;&lt;keyword&gt;History, 20th Century&lt;/keyword&gt;&lt;keyword&gt;History, Ancient&lt;/keyword&gt;&lt;keyword&gt;History, Medieval&lt;/keyword&gt;&lt;keyword&gt;Humans&lt;/keyword&gt;&lt;keyword&gt;*Immunity&lt;/keyword&gt;&lt;keyword&gt;Immunity, Active&lt;/keyword&gt;&lt;keyword&gt;Immunity, Maternally-Acquired&lt;/keyword&gt;&lt;keyword&gt;Magic&lt;/keyword&gt;&lt;keyword&gt;Osmosis&lt;/keyword&gt;&lt;keyword&gt;Smallpox/immunology&lt;/keyword&gt;&lt;/keywords&gt;&lt;dates&gt;&lt;year&gt;1980&lt;/year&gt;&lt;pub-dates&gt;&lt;date&gt;Apr&lt;/date&gt;&lt;/pub-dates&gt;&lt;/dates&gt;&lt;isbn&gt;0008-8749 (Print)&amp;#xD;0008-8749 (Linking)&lt;/isbn&gt;&lt;accession-num&gt;6988085&lt;/accession-num&gt;&lt;urls&gt;&lt;related-urls&gt;&lt;url&gt;https://www.ncbi.nlm.nih.gov/pubmed/6988085&lt;/url&gt;&lt;/related-urls&gt;&lt;/urls&gt;&lt;/record&gt;&lt;/Cite&gt;&lt;/EndNote&gt;</w:instrText>
      </w:r>
      <w:r w:rsidRPr="00AA370A">
        <w:rPr>
          <w:color w:val="000000"/>
        </w:rPr>
        <w:fldChar w:fldCharType="separate"/>
      </w:r>
      <w:r w:rsidR="00734917">
        <w:rPr>
          <w:noProof/>
          <w:color w:val="000000"/>
        </w:rPr>
        <w:t>[1]</w:t>
      </w:r>
      <w:r w:rsidRPr="00AA370A">
        <w:rPr>
          <w:color w:val="000000"/>
        </w:rPr>
        <w:fldChar w:fldCharType="end"/>
      </w:r>
      <w:r w:rsidRPr="00AA370A">
        <w:rPr>
          <w:color w:val="000000"/>
        </w:rPr>
        <w:t>.</w:t>
      </w:r>
      <w:r w:rsidRPr="00AA370A">
        <w:rPr>
          <w:rStyle w:val="apple-converted-space"/>
          <w:color w:val="000000"/>
        </w:rPr>
        <w:t> Subsequent efforts to understand</w:t>
      </w:r>
      <w:r>
        <w:rPr>
          <w:rStyle w:val="apple-converted-space"/>
          <w:color w:val="000000"/>
        </w:rPr>
        <w:t xml:space="preserve"> how</w:t>
      </w:r>
      <w:r w:rsidRPr="00AA370A">
        <w:rPr>
          <w:rStyle w:val="apple-converted-space"/>
          <w:color w:val="000000"/>
        </w:rPr>
        <w:t xml:space="preserve"> serological factors contribute to</w:t>
      </w:r>
      <w:r>
        <w:rPr>
          <w:rStyle w:val="apple-converted-space"/>
          <w:color w:val="000000"/>
        </w:rPr>
        <w:t xml:space="preserve"> </w:t>
      </w:r>
      <w:r w:rsidRPr="00AA370A">
        <w:rPr>
          <w:rStyle w:val="apple-converted-space"/>
          <w:color w:val="000000"/>
        </w:rPr>
        <w:t>immune defense</w:t>
      </w:r>
      <w:r>
        <w:rPr>
          <w:rStyle w:val="apple-converted-space"/>
          <w:color w:val="000000"/>
        </w:rPr>
        <w:t xml:space="preserve"> </w:t>
      </w:r>
      <w:r w:rsidRPr="00AA370A">
        <w:rPr>
          <w:rStyle w:val="apple-converted-space"/>
          <w:color w:val="000000"/>
        </w:rPr>
        <w:t>demonstrated that heating serum to 55</w:t>
      </w:r>
      <w:r w:rsidRPr="00AA370A">
        <w:rPr>
          <w:color w:val="000000"/>
        </w:rPr>
        <w:t>°</w:t>
      </w:r>
      <w:r w:rsidRPr="00AA370A">
        <w:rPr>
          <w:rStyle w:val="apple-converted-space"/>
          <w:color w:val="000000"/>
        </w:rPr>
        <w:t xml:space="preserve">C </w:t>
      </w:r>
      <w:r>
        <w:rPr>
          <w:rStyle w:val="apple-converted-space"/>
          <w:color w:val="000000"/>
        </w:rPr>
        <w:t xml:space="preserve">eliminated </w:t>
      </w:r>
      <w:r w:rsidRPr="00AA370A">
        <w:rPr>
          <w:rStyle w:val="apple-converted-space"/>
          <w:color w:val="000000"/>
        </w:rPr>
        <w:t>the</w:t>
      </w:r>
      <w:r>
        <w:rPr>
          <w:rStyle w:val="apple-converted-space"/>
          <w:color w:val="000000"/>
        </w:rPr>
        <w:t xml:space="preserve"> </w:t>
      </w:r>
      <w:r>
        <w:rPr>
          <w:rStyle w:val="apple-converted-space"/>
          <w:i/>
          <w:iCs/>
          <w:color w:val="000000"/>
        </w:rPr>
        <w:t>in vitro</w:t>
      </w:r>
      <w:r w:rsidRPr="00AA370A">
        <w:rPr>
          <w:rStyle w:val="apple-converted-space"/>
          <w:color w:val="000000"/>
        </w:rPr>
        <w:t xml:space="preserve"> ability of serum to kill</w:t>
      </w:r>
      <w:r>
        <w:rPr>
          <w:rStyle w:val="apple-converted-space"/>
          <w:color w:val="000000"/>
        </w:rPr>
        <w:t xml:space="preserve"> </w:t>
      </w:r>
      <w:r w:rsidRPr="00AA370A">
        <w:rPr>
          <w:rStyle w:val="apple-converted-space"/>
          <w:color w:val="000000"/>
        </w:rPr>
        <w:t>microbe</w:t>
      </w:r>
      <w:r>
        <w:rPr>
          <w:rStyle w:val="apple-converted-space"/>
          <w:color w:val="000000"/>
        </w:rPr>
        <w:t>s</w:t>
      </w:r>
      <w:r w:rsidRPr="00AA370A">
        <w:rPr>
          <w:rStyle w:val="apple-converted-space"/>
          <w:color w:val="000000"/>
        </w:rPr>
        <w:t>.</w:t>
      </w:r>
      <w:r>
        <w:rPr>
          <w:rStyle w:val="apple-converted-space"/>
          <w:color w:val="000000"/>
        </w:rPr>
        <w:t xml:space="preserve"> However</w:t>
      </w:r>
      <w:r w:rsidRPr="00AA370A">
        <w:rPr>
          <w:rStyle w:val="apple-converted-space"/>
          <w:color w:val="000000"/>
        </w:rPr>
        <w:t xml:space="preserve">, infusion of heat inactivated serum isolated from </w:t>
      </w:r>
      <w:r>
        <w:rPr>
          <w:rStyle w:val="apple-converted-space"/>
          <w:color w:val="000000"/>
        </w:rPr>
        <w:t xml:space="preserve">animals </w:t>
      </w:r>
      <w:r w:rsidRPr="00AA370A">
        <w:rPr>
          <w:rStyle w:val="apple-converted-space"/>
          <w:color w:val="000000"/>
        </w:rPr>
        <w:t xml:space="preserve">previously exposed </w:t>
      </w:r>
      <w:r>
        <w:rPr>
          <w:rStyle w:val="apple-converted-space"/>
          <w:color w:val="000000"/>
        </w:rPr>
        <w:t>to an infectious organism</w:t>
      </w:r>
      <w:r w:rsidRPr="00AA370A">
        <w:rPr>
          <w:rStyle w:val="apple-converted-space"/>
          <w:color w:val="000000"/>
        </w:rPr>
        <w:t xml:space="preserve"> </w:t>
      </w:r>
      <w:r>
        <w:rPr>
          <w:rStyle w:val="apple-converted-space"/>
          <w:color w:val="000000"/>
        </w:rPr>
        <w:t xml:space="preserve">provided </w:t>
      </w:r>
      <w:r w:rsidRPr="00AA370A">
        <w:rPr>
          <w:rStyle w:val="apple-converted-space"/>
          <w:color w:val="000000"/>
        </w:rPr>
        <w:t>effective protect</w:t>
      </w:r>
      <w:r>
        <w:rPr>
          <w:rStyle w:val="apple-converted-space"/>
          <w:color w:val="000000"/>
        </w:rPr>
        <w:t xml:space="preserve">ion for </w:t>
      </w:r>
      <w:r w:rsidRPr="00AA370A">
        <w:rPr>
          <w:rStyle w:val="apple-converted-space"/>
          <w:color w:val="000000"/>
        </w:rPr>
        <w:t>naïve animals</w:t>
      </w:r>
      <w:r>
        <w:rPr>
          <w:rStyle w:val="apple-converted-space"/>
          <w:color w:val="000000"/>
        </w:rPr>
        <w:t xml:space="preserve"> when</w:t>
      </w:r>
      <w:r w:rsidRPr="00AA370A">
        <w:rPr>
          <w:rStyle w:val="apple-converted-space"/>
          <w:color w:val="000000"/>
        </w:rPr>
        <w:t xml:space="preserve"> challenge</w:t>
      </w:r>
      <w:r>
        <w:rPr>
          <w:rStyle w:val="apple-converted-space"/>
          <w:color w:val="000000"/>
        </w:rPr>
        <w:t>d</w:t>
      </w:r>
      <w:r w:rsidRPr="00AA370A">
        <w:rPr>
          <w:rStyle w:val="apple-converted-space"/>
          <w:color w:val="000000"/>
        </w:rPr>
        <w:t xml:space="preserve"> with the same organism.</w:t>
      </w:r>
      <w:r>
        <w:rPr>
          <w:rStyle w:val="apple-converted-space"/>
          <w:color w:val="000000"/>
        </w:rPr>
        <w:t xml:space="preserve"> </w:t>
      </w:r>
      <w:r w:rsidRPr="00AA370A">
        <w:rPr>
          <w:rStyle w:val="apple-converted-space"/>
          <w:color w:val="000000"/>
        </w:rPr>
        <w:t xml:space="preserve">These </w:t>
      </w:r>
      <w:r>
        <w:rPr>
          <w:rStyle w:val="apple-converted-space"/>
          <w:color w:val="000000"/>
        </w:rPr>
        <w:t>foundational</w:t>
      </w:r>
      <w:r w:rsidRPr="00AA370A">
        <w:rPr>
          <w:rStyle w:val="apple-converted-space"/>
          <w:color w:val="000000"/>
        </w:rPr>
        <w:t xml:space="preserve"> studies suggested that serological immunity consist</w:t>
      </w:r>
      <w:r>
        <w:rPr>
          <w:rStyle w:val="apple-converted-space"/>
          <w:color w:val="000000"/>
        </w:rPr>
        <w:t>s</w:t>
      </w:r>
      <w:r w:rsidRPr="00AA370A">
        <w:rPr>
          <w:rStyle w:val="apple-converted-space"/>
          <w:color w:val="000000"/>
        </w:rPr>
        <w:t xml:space="preserve"> of heat labile and heat stable components that work</w:t>
      </w:r>
      <w:r>
        <w:rPr>
          <w:rStyle w:val="apple-converted-space"/>
          <w:color w:val="000000"/>
        </w:rPr>
        <w:t xml:space="preserve"> </w:t>
      </w:r>
      <w:r w:rsidR="00734917">
        <w:rPr>
          <w:rStyle w:val="apple-converted-space"/>
          <w:color w:val="000000"/>
        </w:rPr>
        <w:t>in concert</w:t>
      </w:r>
      <w:r w:rsidRPr="00AA370A">
        <w:rPr>
          <w:rStyle w:val="apple-converted-space"/>
          <w:color w:val="000000"/>
        </w:rPr>
        <w:t xml:space="preserve"> to provide immunological protection.</w:t>
      </w:r>
      <w:r>
        <w:rPr>
          <w:rStyle w:val="apple-converted-space"/>
          <w:color w:val="000000"/>
        </w:rPr>
        <w:t xml:space="preserve"> </w:t>
      </w:r>
      <w:r w:rsidRPr="00AA370A">
        <w:rPr>
          <w:color w:val="000000"/>
        </w:rPr>
        <w:t xml:space="preserve">Paul Ehrlich subsequently </w:t>
      </w:r>
      <w:r w:rsidR="00734917">
        <w:rPr>
          <w:color w:val="000000"/>
        </w:rPr>
        <w:t>coined</w:t>
      </w:r>
      <w:r w:rsidRPr="00AA370A">
        <w:rPr>
          <w:color w:val="000000"/>
        </w:rPr>
        <w:t xml:space="preserve"> the term </w:t>
      </w:r>
      <w:r>
        <w:rPr>
          <w:color w:val="000000"/>
        </w:rPr>
        <w:t>“</w:t>
      </w:r>
      <w:r w:rsidRPr="00AA370A">
        <w:rPr>
          <w:color w:val="000000"/>
        </w:rPr>
        <w:t>complement</w:t>
      </w:r>
      <w:r>
        <w:rPr>
          <w:color w:val="000000"/>
        </w:rPr>
        <w:t>”</w:t>
      </w:r>
      <w:r w:rsidRPr="00AA370A">
        <w:rPr>
          <w:color w:val="000000"/>
        </w:rPr>
        <w:t xml:space="preserve"> to describe the heat</w:t>
      </w:r>
      <w:r>
        <w:rPr>
          <w:color w:val="000000"/>
        </w:rPr>
        <w:t>-</w:t>
      </w:r>
      <w:r w:rsidRPr="00AA370A">
        <w:rPr>
          <w:color w:val="000000"/>
        </w:rPr>
        <w:t xml:space="preserve">labile component of </w:t>
      </w:r>
      <w:r>
        <w:rPr>
          <w:color w:val="000000"/>
        </w:rPr>
        <w:t>immunity</w:t>
      </w:r>
      <w:r w:rsidRPr="00AA370A">
        <w:rPr>
          <w:color w:val="000000"/>
        </w:rPr>
        <w:t xml:space="preserve">, which he postulated worked in concert with </w:t>
      </w:r>
      <w:r>
        <w:rPr>
          <w:color w:val="000000"/>
        </w:rPr>
        <w:t>the</w:t>
      </w:r>
      <w:r w:rsidRPr="00AA370A">
        <w:rPr>
          <w:color w:val="000000"/>
        </w:rPr>
        <w:t xml:space="preserve"> heat</w:t>
      </w:r>
      <w:r>
        <w:rPr>
          <w:color w:val="000000"/>
        </w:rPr>
        <w:t>-</w:t>
      </w:r>
      <w:r w:rsidRPr="00AA370A">
        <w:rPr>
          <w:color w:val="000000"/>
        </w:rPr>
        <w:t>stable</w:t>
      </w:r>
      <w:r>
        <w:rPr>
          <w:color w:val="000000"/>
        </w:rPr>
        <w:t xml:space="preserve"> </w:t>
      </w:r>
      <w:r w:rsidRPr="00AA370A">
        <w:rPr>
          <w:color w:val="000000"/>
        </w:rPr>
        <w:t>“amboceptor</w:t>
      </w:r>
      <w:r>
        <w:rPr>
          <w:color w:val="000000"/>
        </w:rPr>
        <w:t>” that provided target specificity.</w:t>
      </w:r>
      <w:r w:rsidRPr="00AA370A">
        <w:rPr>
          <w:color w:val="000000"/>
        </w:rPr>
        <w:t xml:space="preserve"> </w:t>
      </w:r>
      <w:r>
        <w:rPr>
          <w:color w:val="000000"/>
        </w:rPr>
        <w:t>Later</w:t>
      </w:r>
      <w:r w:rsidRPr="00AA370A">
        <w:rPr>
          <w:color w:val="000000"/>
        </w:rPr>
        <w:t xml:space="preserve"> studies demonstrated </w:t>
      </w:r>
      <w:r w:rsidR="00734917" w:rsidRPr="00AA370A">
        <w:rPr>
          <w:color w:val="000000"/>
        </w:rPr>
        <w:t>that a complex pathway of complement activation and regulation occurs following “amboceptor” (antibody) engagement of antigen</w:t>
      </w:r>
      <w:r w:rsidR="00734917" w:rsidRPr="00AA370A">
        <w:rPr>
          <w:color w:val="000000"/>
        </w:rPr>
        <w:fldChar w:fldCharType="begin"/>
      </w:r>
      <w:r w:rsidR="00734917" w:rsidRPr="00AA370A">
        <w:rPr>
          <w:color w:val="000000"/>
        </w:rPr>
        <w:instrText xml:space="preserve"> ADDIN EN.CITE &lt;EndNote&gt;&lt;Cite&gt;&lt;Author&gt;Reis&lt;/Author&gt;&lt;Year&gt;2019&lt;/Year&gt;&lt;RecNum&gt;790&lt;/RecNum&gt;&lt;DisplayText&gt;(2)&lt;/DisplayText&gt;&lt;record&gt;&lt;rec-number&gt;790&lt;/rec-number&gt;&lt;foreign-keys&gt;&lt;key app="EN" db-id="aaed22pv5srr06eaptvvsvxx259af50vrpf2" timestamp="1563980978"&gt;790&lt;/key&gt;&lt;/foreign-keys&gt;&lt;ref-type name="Journal Article"&gt;17&lt;/ref-type&gt;&lt;contributors&gt;&lt;authors&gt;&lt;author&gt;Reis, E. S.&lt;/author&gt;&lt;author&gt;Mastellos, D. C.&lt;/author&gt;&lt;author&gt;Hajishengallis, G.&lt;/author&gt;&lt;author&gt;Lambris, J. D.&lt;/author&gt;&lt;/authors&gt;&lt;/contributors&gt;&lt;auth-address&gt;Department of Pathology and Laboratory Medicine, Perelman School of Medicine, University of Pennsylvania, Philadelphia, PA, USA.&amp;#xD;National Center for Scientific Research &amp;apos;Demokritos&amp;apos;, Athens, Greece.&amp;#xD;Department of Microbiology, School of Dental Medicine, University of Pennsylvania, Philadelphia, PA, USA.&amp;#xD;Department of Pathology and Laboratory Medicine, Perelman School of Medicine, University of Pennsylvania, Philadelphia, PA, USA. lambris@pennmedicine.upenn.edu.&lt;/auth-address&gt;&lt;titles&gt;&lt;title&gt;New insights into the immune functions of complement&lt;/title&gt;&lt;secondary-title&gt;Nat Rev Immunol&lt;/secondary-title&gt;&lt;/titles&gt;&lt;periodical&gt;&lt;full-title&gt;Nat Rev Immunol&lt;/full-title&gt;&lt;/periodical&gt;&lt;edition&gt;2019/05/03&lt;/edition&gt;&lt;dates&gt;&lt;year&gt;2019&lt;/year&gt;&lt;pub-dates&gt;&lt;date&gt;May 2&lt;/date&gt;&lt;/pub-dates&gt;&lt;/dates&gt;&lt;isbn&gt;1474-1741 (Electronic)&amp;#xD;1474-1733 (Linking)&lt;/isbn&gt;&lt;accession-num&gt;31048789&lt;/accession-num&gt;&lt;urls&gt;&lt;related-urls&gt;&lt;url&gt;https://www.ncbi.nlm.nih.gov/pubmed/31048789&lt;/url&gt;&lt;/related-urls&gt;&lt;/urls&gt;&lt;electronic-resource-num&gt;10.1038/s41577-019-0168-x&lt;/electronic-resource-num&gt;&lt;/record&gt;&lt;/Cite&gt;&lt;/EndNote&gt;</w:instrText>
      </w:r>
      <w:r w:rsidR="00734917" w:rsidRPr="00AA370A">
        <w:rPr>
          <w:color w:val="000000"/>
        </w:rPr>
        <w:fldChar w:fldCharType="separate"/>
      </w:r>
      <w:r w:rsidR="00734917" w:rsidRPr="00AA370A">
        <w:rPr>
          <w:noProof/>
          <w:color w:val="000000"/>
        </w:rPr>
        <w:t>(2)</w:t>
      </w:r>
      <w:r w:rsidR="00734917" w:rsidRPr="00AA370A">
        <w:rPr>
          <w:color w:val="000000"/>
        </w:rPr>
        <w:fldChar w:fldCharType="end"/>
      </w:r>
      <w:r w:rsidR="00734917" w:rsidRPr="00AA370A">
        <w:rPr>
          <w:color w:val="000000"/>
        </w:rPr>
        <w:t>.</w:t>
      </w:r>
      <w:r>
        <w:rPr>
          <w:color w:val="000000"/>
        </w:rPr>
        <w:t xml:space="preserve"> </w:t>
      </w:r>
    </w:p>
    <w:p w14:paraId="383AA399" w14:textId="6425C9C9" w:rsidR="001B4136" w:rsidRPr="00AA370A" w:rsidRDefault="001B4136" w:rsidP="001B4136">
      <w:pPr>
        <w:pStyle w:val="p"/>
        <w:spacing w:before="166" w:beforeAutospacing="0" w:after="166" w:afterAutospacing="0" w:line="480" w:lineRule="auto"/>
        <w:ind w:firstLine="720"/>
        <w:rPr>
          <w:color w:val="000000"/>
        </w:rPr>
      </w:pPr>
      <w:r w:rsidRPr="00AA370A">
        <w:rPr>
          <w:color w:val="000000"/>
        </w:rPr>
        <w:t>Following the discovery of complement, elegant biochemical studies further elucidated</w:t>
      </w:r>
      <w:r>
        <w:rPr>
          <w:color w:val="000000"/>
        </w:rPr>
        <w:t xml:space="preserve"> </w:t>
      </w:r>
      <w:r w:rsidRPr="00AA370A">
        <w:rPr>
          <w:color w:val="000000"/>
        </w:rPr>
        <w:t xml:space="preserve">key pathways that regulate </w:t>
      </w:r>
      <w:r>
        <w:rPr>
          <w:color w:val="000000"/>
        </w:rPr>
        <w:t>its</w:t>
      </w:r>
      <w:r w:rsidRPr="00AA370A">
        <w:rPr>
          <w:color w:val="000000"/>
        </w:rPr>
        <w:t xml:space="preserve"> activation.</w:t>
      </w:r>
      <w:r>
        <w:rPr>
          <w:color w:val="000000"/>
        </w:rPr>
        <w:t xml:space="preserve"> E</w:t>
      </w:r>
      <w:r w:rsidRPr="00AA370A">
        <w:rPr>
          <w:color w:val="000000"/>
        </w:rPr>
        <w:t xml:space="preserve">arly experiments primarily focused on antibody-mediated complement activation (classical pathway), </w:t>
      </w:r>
      <w:r w:rsidR="00734917">
        <w:rPr>
          <w:color w:val="000000"/>
        </w:rPr>
        <w:t xml:space="preserve">while </w:t>
      </w:r>
      <w:r w:rsidRPr="00AA370A">
        <w:rPr>
          <w:color w:val="000000"/>
        </w:rPr>
        <w:t xml:space="preserve">later </w:t>
      </w:r>
      <w:r>
        <w:rPr>
          <w:color w:val="000000"/>
        </w:rPr>
        <w:t>work</w:t>
      </w:r>
      <w:r w:rsidRPr="00AA370A">
        <w:rPr>
          <w:color w:val="000000"/>
        </w:rPr>
        <w:t xml:space="preserve"> </w:t>
      </w:r>
      <w:r>
        <w:rPr>
          <w:color w:val="000000"/>
        </w:rPr>
        <w:t xml:space="preserve">contributed to </w:t>
      </w:r>
      <w:r w:rsidRPr="00AA370A">
        <w:rPr>
          <w:color w:val="000000"/>
        </w:rPr>
        <w:t xml:space="preserve">the </w:t>
      </w:r>
      <w:r>
        <w:rPr>
          <w:color w:val="000000"/>
        </w:rPr>
        <w:t>discovery of other activation pathways, including</w:t>
      </w:r>
      <w:r w:rsidRPr="00AA370A">
        <w:rPr>
          <w:color w:val="000000"/>
        </w:rPr>
        <w:t xml:space="preserve"> </w:t>
      </w:r>
      <w:r>
        <w:rPr>
          <w:color w:val="000000"/>
        </w:rPr>
        <w:t>the</w:t>
      </w:r>
      <w:r w:rsidRPr="00AA370A">
        <w:rPr>
          <w:color w:val="000000"/>
        </w:rPr>
        <w:t xml:space="preserve"> lectin and alternative complement pathways.</w:t>
      </w:r>
      <w:r>
        <w:rPr>
          <w:color w:val="000000"/>
        </w:rPr>
        <w:t xml:space="preserve"> Complement-fixing antibodies</w:t>
      </w:r>
      <w:r w:rsidRPr="00AA370A">
        <w:rPr>
          <w:color w:val="000000"/>
        </w:rPr>
        <w:t xml:space="preserve"> </w:t>
      </w:r>
      <w:r>
        <w:rPr>
          <w:color w:val="000000"/>
        </w:rPr>
        <w:t xml:space="preserve">activate </w:t>
      </w:r>
      <w:r w:rsidRPr="00AA370A">
        <w:rPr>
          <w:color w:val="000000"/>
        </w:rPr>
        <w:t xml:space="preserve">complement </w:t>
      </w:r>
      <w:r>
        <w:rPr>
          <w:color w:val="000000"/>
        </w:rPr>
        <w:t xml:space="preserve">after pathogen </w:t>
      </w:r>
      <w:r w:rsidRPr="00AA370A">
        <w:rPr>
          <w:color w:val="000000"/>
        </w:rPr>
        <w:t xml:space="preserve">engagement </w:t>
      </w:r>
      <w:r>
        <w:rPr>
          <w:color w:val="000000"/>
        </w:rPr>
        <w:t xml:space="preserve">and </w:t>
      </w:r>
      <w:r w:rsidRPr="00AA370A">
        <w:rPr>
          <w:color w:val="000000"/>
        </w:rPr>
        <w:t xml:space="preserve">also </w:t>
      </w:r>
      <w:r>
        <w:rPr>
          <w:color w:val="000000"/>
        </w:rPr>
        <w:t>after</w:t>
      </w:r>
      <w:r w:rsidRPr="00AA370A">
        <w:rPr>
          <w:color w:val="000000"/>
        </w:rPr>
        <w:t xml:space="preserve"> alloantigen</w:t>
      </w:r>
      <w:r>
        <w:rPr>
          <w:color w:val="000000"/>
        </w:rPr>
        <w:t xml:space="preserve"> recognition, which can occur</w:t>
      </w:r>
      <w:r w:rsidRPr="00AA370A">
        <w:rPr>
          <w:color w:val="000000"/>
        </w:rPr>
        <w:t xml:space="preserve"> in the context of transfusion</w:t>
      </w:r>
      <w:r>
        <w:rPr>
          <w:color w:val="000000"/>
        </w:rPr>
        <w:t>. For this reason,</w:t>
      </w:r>
      <w:r w:rsidRPr="00AA370A">
        <w:rPr>
          <w:color w:val="000000"/>
        </w:rPr>
        <w:t xml:space="preserve"> </w:t>
      </w:r>
      <w:r>
        <w:rPr>
          <w:color w:val="000000"/>
        </w:rPr>
        <w:t xml:space="preserve">detecting </w:t>
      </w:r>
      <w:r w:rsidRPr="00AA370A">
        <w:rPr>
          <w:color w:val="000000"/>
        </w:rPr>
        <w:t>complement deposition on the surface of red blood cells</w:t>
      </w:r>
      <w:r>
        <w:rPr>
          <w:color w:val="000000"/>
        </w:rPr>
        <w:t xml:space="preserve"> (RBCs)</w:t>
      </w:r>
      <w:r w:rsidRPr="00AA370A">
        <w:rPr>
          <w:color w:val="000000"/>
        </w:rPr>
        <w:t xml:space="preserve"> quickly became a routine test to evaluate the activity of a RBC</w:t>
      </w:r>
      <w:r>
        <w:rPr>
          <w:color w:val="000000"/>
        </w:rPr>
        <w:t>-</w:t>
      </w:r>
      <w:r w:rsidRPr="00AA370A">
        <w:rPr>
          <w:color w:val="000000"/>
        </w:rPr>
        <w:t xml:space="preserve">bound antibody </w:t>
      </w:r>
      <w:r>
        <w:rPr>
          <w:color w:val="000000"/>
        </w:rPr>
        <w:t>in</w:t>
      </w:r>
      <w:r w:rsidRPr="00AA370A">
        <w:rPr>
          <w:color w:val="000000"/>
        </w:rPr>
        <w:t xml:space="preserve"> transfusion candidate</w:t>
      </w:r>
      <w:r>
        <w:rPr>
          <w:color w:val="000000"/>
        </w:rPr>
        <w:t>s</w:t>
      </w:r>
      <w:r w:rsidRPr="00AA370A">
        <w:rPr>
          <w:color w:val="000000"/>
        </w:rPr>
        <w:t xml:space="preserve"> or </w:t>
      </w:r>
      <w:r>
        <w:rPr>
          <w:color w:val="000000"/>
        </w:rPr>
        <w:t xml:space="preserve">in </w:t>
      </w:r>
      <w:r w:rsidRPr="00AA370A">
        <w:rPr>
          <w:color w:val="000000"/>
        </w:rPr>
        <w:t>recently transfused individual</w:t>
      </w:r>
      <w:r>
        <w:rPr>
          <w:color w:val="000000"/>
        </w:rPr>
        <w:t>s</w:t>
      </w:r>
      <w:r w:rsidRPr="00AA370A">
        <w:rPr>
          <w:color w:val="000000"/>
        </w:rPr>
        <w:fldChar w:fldCharType="begin"/>
      </w:r>
      <w:r w:rsidR="00734917">
        <w:rPr>
          <w:color w:val="000000"/>
        </w:rPr>
        <w:instrText xml:space="preserve"> ADDIN EN.CITE &lt;EndNote&gt;&lt;Cite&gt;&lt;Author&gt;Engelfriet&lt;/Author&gt;&lt;Year&gt;1992&lt;/Year&gt;&lt;RecNum&gt;805&lt;/RecNum&gt;&lt;DisplayText&gt;[3]&lt;/DisplayText&gt;&lt;record&gt;&lt;rec-number&gt;805&lt;/rec-number&gt;&lt;foreign-keys&gt;&lt;key app="EN" db-id="aaed22pv5srr06eaptvvsvxx259af50vrpf2" timestamp="1567018203"&gt;805&lt;/key&gt;&lt;/foreign-keys&gt;&lt;ref-type name="Journal Article"&gt;17&lt;/ref-type&gt;&lt;contributors&gt;&lt;authors&gt;&lt;author&gt;Engelfriet, C. P.&lt;/author&gt;&lt;/authors&gt;&lt;/contributors&gt;&lt;auth-address&gt;Department of Immunohematology, The Netherlands Red Cross Blood Transfusion Service, Amsterdam.&lt;/auth-address&gt;&lt;titles&gt;&lt;title&gt;The immune destruction of red cells&lt;/title&gt;&lt;secondary-title&gt;Transfus Med&lt;/secondary-title&gt;&lt;/titles&gt;&lt;periodical&gt;&lt;full-title&gt;Transfus Med&lt;/full-title&gt;&lt;/periodical&gt;&lt;pages&gt;1-6&lt;/pages&gt;&lt;volume&gt;2&lt;/volume&gt;&lt;number&gt;1&lt;/number&gt;&lt;edition&gt;1992/03/01&lt;/edition&gt;&lt;keywords&gt;&lt;keyword&gt;Adult&lt;/keyword&gt;&lt;keyword&gt;Antibody-Dependent Cell Cytotoxicity&lt;/keyword&gt;&lt;keyword&gt;Autoantibodies/immunology&lt;/keyword&gt;&lt;keyword&gt;*Complement Activation&lt;/keyword&gt;&lt;keyword&gt;Erythroblastosis, Fetal/blood/immunology&lt;/keyword&gt;&lt;keyword&gt;Erythrocytes/cytology/*immunology&lt;/keyword&gt;&lt;keyword&gt;Female&lt;/keyword&gt;&lt;keyword&gt;HLA Antigens/immunology&lt;/keyword&gt;&lt;keyword&gt;Humans&lt;/keyword&gt;&lt;keyword&gt;Immunity, Maternally-Acquired&lt;/keyword&gt;&lt;keyword&gt;Infant, Newborn&lt;/keyword&gt;&lt;keyword&gt;Isoantibodies/*immunology&lt;/keyword&gt;&lt;keyword&gt;*Phagocytosis&lt;/keyword&gt;&lt;keyword&gt;Pregnancy&lt;/keyword&gt;&lt;keyword&gt;Receptors, Fc/classification/genetics/immunology&lt;/keyword&gt;&lt;/keywords&gt;&lt;dates&gt;&lt;year&gt;1992&lt;/year&gt;&lt;pub-dates&gt;&lt;date&gt;Mar&lt;/date&gt;&lt;/pub-dates&gt;&lt;/dates&gt;&lt;isbn&gt;0958-7578 (Print)&amp;#xD;0958-7578 (Linking)&lt;/isbn&gt;&lt;accession-num&gt;1308459&lt;/accession-num&gt;&lt;urls&gt;&lt;related-urls&gt;&lt;url&gt;https://www.ncbi.nlm.nih.gov/pubmed/1308459&lt;/url&gt;&lt;/related-urls&gt;&lt;/urls&gt;&lt;/record&gt;&lt;/Cite&gt;&lt;/EndNote&gt;</w:instrText>
      </w:r>
      <w:r w:rsidRPr="00AA370A">
        <w:rPr>
          <w:color w:val="000000"/>
        </w:rPr>
        <w:fldChar w:fldCharType="separate"/>
      </w:r>
      <w:r w:rsidR="00734917">
        <w:rPr>
          <w:noProof/>
          <w:color w:val="000000"/>
        </w:rPr>
        <w:t>[3]</w:t>
      </w:r>
      <w:r w:rsidRPr="00AA370A">
        <w:rPr>
          <w:color w:val="000000"/>
        </w:rPr>
        <w:fldChar w:fldCharType="end"/>
      </w:r>
      <w:r w:rsidRPr="00AA370A">
        <w:rPr>
          <w:color w:val="000000"/>
        </w:rPr>
        <w:t>.</w:t>
      </w:r>
      <w:r>
        <w:rPr>
          <w:color w:val="000000"/>
        </w:rPr>
        <w:t xml:space="preserve"> Although complement deposition </w:t>
      </w:r>
      <w:r w:rsidRPr="00AA370A">
        <w:rPr>
          <w:color w:val="000000"/>
        </w:rPr>
        <w:t>tests are</w:t>
      </w:r>
      <w:r>
        <w:rPr>
          <w:color w:val="000000"/>
        </w:rPr>
        <w:t xml:space="preserve"> now</w:t>
      </w:r>
      <w:r w:rsidRPr="00AA370A">
        <w:rPr>
          <w:color w:val="000000"/>
        </w:rPr>
        <w:t xml:space="preserve"> routine, the</w:t>
      </w:r>
      <w:r>
        <w:rPr>
          <w:color w:val="000000"/>
        </w:rPr>
        <w:t xml:space="preserve"> full</w:t>
      </w:r>
      <w:r w:rsidRPr="00AA370A">
        <w:rPr>
          <w:color w:val="000000"/>
        </w:rPr>
        <w:t xml:space="preserve"> </w:t>
      </w:r>
      <w:r>
        <w:rPr>
          <w:color w:val="000000"/>
        </w:rPr>
        <w:t>complexity</w:t>
      </w:r>
      <w:r w:rsidRPr="00AA370A">
        <w:rPr>
          <w:color w:val="000000"/>
        </w:rPr>
        <w:t xml:space="preserve"> of complement activation following antibody engagement </w:t>
      </w:r>
      <w:r>
        <w:rPr>
          <w:color w:val="000000"/>
        </w:rPr>
        <w:t>is still emerging</w:t>
      </w:r>
      <w:r w:rsidRPr="00AA370A">
        <w:rPr>
          <w:color w:val="000000"/>
        </w:rPr>
        <w:t>.</w:t>
      </w:r>
      <w:r>
        <w:rPr>
          <w:color w:val="000000"/>
        </w:rPr>
        <w:t xml:space="preserve"> Intriguingly, only a subset of</w:t>
      </w:r>
      <w:r w:rsidRPr="00AA370A">
        <w:rPr>
          <w:color w:val="000000"/>
        </w:rPr>
        <w:t xml:space="preserve"> antibodies fix complement following engagement of a</w:t>
      </w:r>
      <w:r w:rsidR="00DF4F8C">
        <w:rPr>
          <w:color w:val="000000"/>
        </w:rPr>
        <w:t>n</w:t>
      </w:r>
      <w:r w:rsidRPr="00AA370A">
        <w:rPr>
          <w:color w:val="000000"/>
        </w:rPr>
        <w:t xml:space="preserve"> RBC surface antigen</w:t>
      </w:r>
      <w:r>
        <w:rPr>
          <w:color w:val="000000"/>
        </w:rPr>
        <w:t xml:space="preserve">.  In this special issue of </w:t>
      </w:r>
      <w:r>
        <w:rPr>
          <w:i/>
          <w:color w:val="000000"/>
        </w:rPr>
        <w:t>Transfusion Medicine Reviews,</w:t>
      </w:r>
      <w:r w:rsidRPr="00AA370A">
        <w:rPr>
          <w:color w:val="000000"/>
        </w:rPr>
        <w:t xml:space="preserve"> Arthur and colleagues review</w:t>
      </w:r>
      <w:r>
        <w:rPr>
          <w:color w:val="000000"/>
        </w:rPr>
        <w:t xml:space="preserve"> the </w:t>
      </w:r>
      <w:r w:rsidRPr="00AA370A">
        <w:rPr>
          <w:color w:val="000000"/>
        </w:rPr>
        <w:t xml:space="preserve">factors that regulate complement activation following antibody </w:t>
      </w:r>
      <w:r w:rsidRPr="00AA370A">
        <w:rPr>
          <w:color w:val="000000"/>
        </w:rPr>
        <w:lastRenderedPageBreak/>
        <w:t>engagement.</w:t>
      </w:r>
      <w:r>
        <w:rPr>
          <w:color w:val="000000"/>
        </w:rPr>
        <w:t xml:space="preserve"> </w:t>
      </w:r>
      <w:r w:rsidRPr="00AA370A">
        <w:rPr>
          <w:color w:val="000000"/>
        </w:rPr>
        <w:t>As alloantibodies can also induce platelet refractoriness</w:t>
      </w:r>
      <w:r>
        <w:rPr>
          <w:color w:val="000000"/>
        </w:rPr>
        <w:t xml:space="preserve">, </w:t>
      </w:r>
      <w:r w:rsidRPr="00AA370A">
        <w:rPr>
          <w:color w:val="000000"/>
        </w:rPr>
        <w:t xml:space="preserve">Peter </w:t>
      </w:r>
      <w:proofErr w:type="spellStart"/>
      <w:r w:rsidRPr="00AA370A">
        <w:rPr>
          <w:color w:val="000000"/>
        </w:rPr>
        <w:t>Hoglund</w:t>
      </w:r>
      <w:proofErr w:type="spellEnd"/>
      <w:r w:rsidRPr="00AA370A">
        <w:rPr>
          <w:color w:val="000000"/>
        </w:rPr>
        <w:t xml:space="preserve"> provides an excellent overview of the </w:t>
      </w:r>
      <w:r>
        <w:rPr>
          <w:color w:val="000000"/>
        </w:rPr>
        <w:t xml:space="preserve">role of </w:t>
      </w:r>
      <w:r w:rsidRPr="00AA370A">
        <w:rPr>
          <w:color w:val="000000"/>
        </w:rPr>
        <w:t>complement in antibody-mediated platelet refractoriness and HLA sensitization.</w:t>
      </w:r>
    </w:p>
    <w:p w14:paraId="3CA2E446" w14:textId="77777777" w:rsidR="001B4136" w:rsidRPr="00AA370A" w:rsidRDefault="001B4136" w:rsidP="001B4136">
      <w:pPr>
        <w:pStyle w:val="p"/>
        <w:spacing w:before="166" w:beforeAutospacing="0" w:after="166" w:afterAutospacing="0" w:line="480" w:lineRule="auto"/>
        <w:ind w:firstLine="720"/>
        <w:rPr>
          <w:color w:val="000000"/>
        </w:rPr>
      </w:pPr>
      <w:r w:rsidRPr="00AA370A">
        <w:rPr>
          <w:color w:val="000000"/>
        </w:rPr>
        <w:t xml:space="preserve">Despite a wealth of knowledge regarding the biochemical </w:t>
      </w:r>
      <w:r>
        <w:rPr>
          <w:color w:val="000000"/>
        </w:rPr>
        <w:t>basis</w:t>
      </w:r>
      <w:r w:rsidRPr="00AA370A">
        <w:rPr>
          <w:color w:val="000000"/>
        </w:rPr>
        <w:t xml:space="preserve"> of complement regulation, including the mechanisms </w:t>
      </w:r>
      <w:r>
        <w:rPr>
          <w:color w:val="000000"/>
        </w:rPr>
        <w:t>by which</w:t>
      </w:r>
      <w:r w:rsidRPr="00AA370A">
        <w:rPr>
          <w:color w:val="000000"/>
        </w:rPr>
        <w:t xml:space="preserve"> antibodies fix complement, </w:t>
      </w:r>
      <w:r>
        <w:rPr>
          <w:color w:val="000000"/>
        </w:rPr>
        <w:t xml:space="preserve">more research is needed to develop </w:t>
      </w:r>
      <w:r w:rsidRPr="00AA370A">
        <w:rPr>
          <w:color w:val="000000"/>
        </w:rPr>
        <w:t>a complete understanding of complement activation in the pathophysiology of disease and</w:t>
      </w:r>
      <w:r>
        <w:rPr>
          <w:color w:val="000000"/>
        </w:rPr>
        <w:t xml:space="preserve"> the</w:t>
      </w:r>
      <w:r w:rsidRPr="00AA370A">
        <w:rPr>
          <w:color w:val="000000"/>
        </w:rPr>
        <w:t xml:space="preserve"> methods to modulate </w:t>
      </w:r>
      <w:r>
        <w:rPr>
          <w:color w:val="000000"/>
        </w:rPr>
        <w:t>the activation</w:t>
      </w:r>
      <w:r w:rsidRPr="00AA370A">
        <w:rPr>
          <w:color w:val="000000"/>
        </w:rPr>
        <w:t xml:space="preserve"> process. </w:t>
      </w:r>
      <w:r>
        <w:rPr>
          <w:color w:val="000000"/>
        </w:rPr>
        <w:t xml:space="preserve">In this issue, </w:t>
      </w:r>
      <w:r w:rsidRPr="00AA370A">
        <w:rPr>
          <w:color w:val="000000"/>
        </w:rPr>
        <w:t>Sunny Dzik provides a</w:t>
      </w:r>
      <w:r>
        <w:rPr>
          <w:color w:val="000000"/>
        </w:rPr>
        <w:t xml:space="preserve"> comprehensive</w:t>
      </w:r>
      <w:r w:rsidRPr="00AA370A">
        <w:rPr>
          <w:color w:val="000000"/>
        </w:rPr>
        <w:t xml:space="preserve"> review of recent </w:t>
      </w:r>
      <w:r>
        <w:rPr>
          <w:color w:val="000000"/>
        </w:rPr>
        <w:t>research</w:t>
      </w:r>
      <w:r w:rsidRPr="00AA370A">
        <w:rPr>
          <w:color w:val="000000"/>
        </w:rPr>
        <w:t xml:space="preserve"> regarding the axis between complement and hemostasis and how activation of either pathway may influence the pathophysiology of disease marked by exuberant complement or hemostatic activation. </w:t>
      </w:r>
      <w:r>
        <w:rPr>
          <w:color w:val="000000"/>
        </w:rPr>
        <w:t>Although</w:t>
      </w:r>
      <w:r w:rsidRPr="00AA370A">
        <w:rPr>
          <w:color w:val="000000"/>
        </w:rPr>
        <w:t xml:space="preserve"> complement inhibitor replacement has provided a way to treat angioedema, nicely reviewed by Marcel Levi, no specific therapeutic approach was available for many years to otherwise </w:t>
      </w:r>
      <w:r>
        <w:rPr>
          <w:color w:val="000000"/>
        </w:rPr>
        <w:t xml:space="preserve">favorably </w:t>
      </w:r>
      <w:r w:rsidRPr="00AA370A">
        <w:rPr>
          <w:color w:val="000000"/>
        </w:rPr>
        <w:t>manipulate complement activity in patients.</w:t>
      </w:r>
      <w:r>
        <w:rPr>
          <w:color w:val="000000"/>
        </w:rPr>
        <w:t xml:space="preserve"> </w:t>
      </w:r>
      <w:r w:rsidRPr="00AA370A">
        <w:rPr>
          <w:color w:val="000000"/>
        </w:rPr>
        <w:t>The recent development of complement inhibitory drugs has led to a resurgence of interest in complement biology</w:t>
      </w:r>
      <w:r>
        <w:rPr>
          <w:color w:val="000000"/>
        </w:rPr>
        <w:t xml:space="preserve">, including new research into the </w:t>
      </w:r>
      <w:r w:rsidRPr="00AA370A">
        <w:rPr>
          <w:color w:val="000000"/>
        </w:rPr>
        <w:t>potential role of complement in</w:t>
      </w:r>
      <w:r>
        <w:rPr>
          <w:color w:val="000000"/>
        </w:rPr>
        <w:t xml:space="preserve"> a</w:t>
      </w:r>
      <w:r w:rsidRPr="00AA370A">
        <w:rPr>
          <w:color w:val="000000"/>
        </w:rPr>
        <w:t xml:space="preserve"> broad range of diseases.</w:t>
      </w:r>
    </w:p>
    <w:p w14:paraId="501C140A" w14:textId="562E7E98" w:rsidR="001B4136" w:rsidRPr="00AA370A" w:rsidRDefault="0031155E" w:rsidP="00DF4F8C">
      <w:pPr>
        <w:pStyle w:val="p"/>
        <w:spacing w:before="166" w:beforeAutospacing="0" w:after="166" w:afterAutospacing="0" w:line="480" w:lineRule="auto"/>
        <w:ind w:firstLine="720"/>
        <w:rPr>
          <w:color w:val="000000"/>
        </w:rPr>
      </w:pPr>
      <w:r w:rsidRPr="00AA370A">
        <w:rPr>
          <w:color w:val="000000"/>
        </w:rPr>
        <w:t>In addition to paroxysmal nocturnal hemoglobinuria (PNH), atypical hemolytic uremic syndrome (</w:t>
      </w:r>
      <w:proofErr w:type="spellStart"/>
      <w:r w:rsidRPr="00AA370A">
        <w:rPr>
          <w:color w:val="000000"/>
        </w:rPr>
        <w:t>aHUS</w:t>
      </w:r>
      <w:proofErr w:type="spellEnd"/>
      <w:r w:rsidRPr="00AA370A">
        <w:rPr>
          <w:color w:val="000000"/>
        </w:rPr>
        <w:t>), myasthenia gravis and a growing number of other indications</w:t>
      </w:r>
      <w:r w:rsidRPr="00AA370A">
        <w:rPr>
          <w:color w:val="000000"/>
        </w:rPr>
        <w:fldChar w:fldCharType="begin"/>
      </w:r>
      <w:r w:rsidRPr="00AA370A">
        <w:rPr>
          <w:color w:val="000000"/>
        </w:rPr>
        <w:instrText xml:space="preserve"> ADDIN EN.CITE &lt;EndNote&gt;&lt;Cite&gt;&lt;Author&gt;Mastellos&lt;/Author&gt;&lt;Year&gt;2019&lt;/Year&gt;&lt;RecNum&gt;789&lt;/RecNum&gt;&lt;DisplayText&gt;(4)&lt;/DisplayText&gt;&lt;record&gt;&lt;rec-number&gt;789&lt;/rec-number&gt;&lt;foreign-keys&gt;&lt;key app="EN" db-id="aaed22pv5srr06eaptvvsvxx259af50vrpf2" timestamp="1563980790"&gt;789&lt;/key&gt;&lt;/foreign-keys&gt;&lt;ref-type name="Journal Article"&gt;17&lt;/ref-type&gt;&lt;contributors&gt;&lt;authors&gt;&lt;author&gt;Mastellos, D. C.&lt;/author&gt;&lt;author&gt;Ricklin, D.&lt;/author&gt;&lt;author&gt;Lambris, J. D.&lt;/author&gt;&lt;/authors&gt;&lt;/contributors&gt;&lt;auth-address&gt;National Center for Scientific Research &amp;apos;Demokritos&amp;apos;, Athens, Greece.&amp;#xD;Department of Pharmaceutical Sciences, University of Basel, Basel, Switzerland.&amp;#xD;Department of Pathology and Laboratory Medicine, Perelman School of Medicine, University of Pennsylvania, Philadelphia, PA, USA. lambris@pennmedicine.upenn.edu.&lt;/auth-address&gt;&lt;titles&gt;&lt;title&gt;Clinical promise of next-generation complement therapeutics&lt;/title&gt;&lt;secondary-title&gt;Nat Rev Drug Discov&lt;/secondary-title&gt;&lt;/titles&gt;&lt;periodical&gt;&lt;full-title&gt;Nat Rev Drug Discov&lt;/full-title&gt;&lt;/periodical&gt;&lt;edition&gt;2019/07/22&lt;/edition&gt;&lt;dates&gt;&lt;year&gt;2019&lt;/year&gt;&lt;pub-dates&gt;&lt;date&gt;Jul 19&lt;/date&gt;&lt;/pub-dates&gt;&lt;/dates&gt;&lt;isbn&gt;1474-1784 (Electronic)&amp;#xD;1474-1776 (Linking)&lt;/isbn&gt;&lt;accession-num&gt;31324874&lt;/accession-num&gt;&lt;urls&gt;&lt;related-urls&gt;&lt;url&gt;https://www.ncbi.nlm.nih.gov/pubmed/31324874&lt;/url&gt;&lt;/related-urls&gt;&lt;/urls&gt;&lt;electronic-resource-num&gt;10.1038/s41573-019-0031-6&lt;/electronic-resource-num&gt;&lt;/record&gt;&lt;/Cite&gt;&lt;/EndNote&gt;</w:instrText>
      </w:r>
      <w:r w:rsidRPr="00AA370A">
        <w:rPr>
          <w:color w:val="000000"/>
        </w:rPr>
        <w:fldChar w:fldCharType="separate"/>
      </w:r>
      <w:r w:rsidRPr="00AA370A">
        <w:rPr>
          <w:noProof/>
          <w:color w:val="000000"/>
        </w:rPr>
        <w:t>(4)</w:t>
      </w:r>
      <w:r w:rsidRPr="00AA370A">
        <w:rPr>
          <w:color w:val="000000"/>
        </w:rPr>
        <w:fldChar w:fldCharType="end"/>
      </w:r>
      <w:r w:rsidRPr="00AA370A">
        <w:rPr>
          <w:color w:val="000000"/>
        </w:rPr>
        <w:t xml:space="preserve">, recent studies suggest that complement inhibition may play a direct role in abating the disease pathophysiology of transfusion-related complications.  Perhaps one of the most promising examples of this is the treatment of </w:t>
      </w:r>
      <w:proofErr w:type="spellStart"/>
      <w:r w:rsidRPr="00037F6E">
        <w:rPr>
          <w:color w:val="000000"/>
        </w:rPr>
        <w:t>hyperhemolysis</w:t>
      </w:r>
      <w:proofErr w:type="spellEnd"/>
      <w:r w:rsidRPr="00037F6E">
        <w:rPr>
          <w:color w:val="000000"/>
        </w:rPr>
        <w:t xml:space="preserve"> </w:t>
      </w:r>
      <w:r w:rsidRPr="00AA370A">
        <w:rPr>
          <w:color w:val="000000"/>
        </w:rPr>
        <w:t xml:space="preserve">in the setting of delayed hemolytic transfusion reactions (DHTRs). </w:t>
      </w:r>
      <w:r w:rsidR="001B4136">
        <w:rPr>
          <w:color w:val="000000"/>
        </w:rPr>
        <w:t xml:space="preserve"> </w:t>
      </w:r>
      <w:proofErr w:type="spellStart"/>
      <w:r w:rsidR="001B4136" w:rsidRPr="00AA370A">
        <w:rPr>
          <w:color w:val="000000"/>
        </w:rPr>
        <w:t>Lubka</w:t>
      </w:r>
      <w:proofErr w:type="spellEnd"/>
      <w:r w:rsidR="001B4136" w:rsidRPr="00AA370A">
        <w:rPr>
          <w:color w:val="000000"/>
        </w:rPr>
        <w:t xml:space="preserve"> </w:t>
      </w:r>
      <w:proofErr w:type="spellStart"/>
      <w:r w:rsidR="001B4136" w:rsidRPr="00AA370A">
        <w:rPr>
          <w:color w:val="000000"/>
        </w:rPr>
        <w:t>Roumenina</w:t>
      </w:r>
      <w:proofErr w:type="spellEnd"/>
      <w:r w:rsidR="001B4136" w:rsidRPr="00AA370A">
        <w:rPr>
          <w:color w:val="000000"/>
        </w:rPr>
        <w:t xml:space="preserve"> and colleagues provide a compelling overview of the potential mechanisms </w:t>
      </w:r>
      <w:r w:rsidR="001B4136">
        <w:rPr>
          <w:color w:val="000000"/>
        </w:rPr>
        <w:t>of</w:t>
      </w:r>
      <w:r w:rsidR="001B4136" w:rsidRPr="00AA370A">
        <w:rPr>
          <w:color w:val="000000"/>
        </w:rPr>
        <w:t xml:space="preserve"> complement</w:t>
      </w:r>
      <w:r w:rsidR="001B4136">
        <w:rPr>
          <w:color w:val="000000"/>
        </w:rPr>
        <w:t xml:space="preserve"> activation</w:t>
      </w:r>
      <w:r w:rsidR="001B4136" w:rsidRPr="00AA370A">
        <w:rPr>
          <w:color w:val="000000"/>
        </w:rPr>
        <w:t xml:space="preserve"> during a DHTR with </w:t>
      </w:r>
      <w:proofErr w:type="spellStart"/>
      <w:r w:rsidR="001B4136" w:rsidRPr="00037F6E">
        <w:rPr>
          <w:color w:val="000000"/>
        </w:rPr>
        <w:t>hyperhemolysi</w:t>
      </w:r>
      <w:r w:rsidR="001B4136">
        <w:rPr>
          <w:color w:val="000000"/>
        </w:rPr>
        <w:t>s</w:t>
      </w:r>
      <w:proofErr w:type="spellEnd"/>
      <w:r w:rsidR="001B4136" w:rsidRPr="00AA370A">
        <w:rPr>
          <w:color w:val="000000"/>
        </w:rPr>
        <w:t>, in addition to providing recommendations on how complement inhibition may be used to treat this potentially fatal condition.</w:t>
      </w:r>
      <w:r w:rsidR="001B4136">
        <w:rPr>
          <w:color w:val="000000"/>
        </w:rPr>
        <w:t xml:space="preserve"> </w:t>
      </w:r>
      <w:r w:rsidR="001B4136" w:rsidRPr="00AA370A">
        <w:rPr>
          <w:color w:val="000000"/>
        </w:rPr>
        <w:t xml:space="preserve">Similar complement activation may be critical </w:t>
      </w:r>
      <w:r w:rsidR="001B4136">
        <w:rPr>
          <w:color w:val="000000"/>
        </w:rPr>
        <w:t xml:space="preserve">in the development of </w:t>
      </w:r>
      <w:r w:rsidR="001B4136" w:rsidRPr="00AA370A">
        <w:rPr>
          <w:color w:val="000000"/>
        </w:rPr>
        <w:t>transfusion associated-acute lung injury (TRALI), an equally fatal transfusion complication</w:t>
      </w:r>
      <w:r w:rsidR="001B4136">
        <w:rPr>
          <w:color w:val="000000"/>
        </w:rPr>
        <w:t>, which is</w:t>
      </w:r>
      <w:r w:rsidR="001B4136" w:rsidRPr="00AA370A">
        <w:rPr>
          <w:color w:val="000000"/>
        </w:rPr>
        <w:t xml:space="preserve"> detailed in an excellent review by Rick </w:t>
      </w:r>
      <w:proofErr w:type="spellStart"/>
      <w:r w:rsidR="001B4136" w:rsidRPr="00AA370A">
        <w:rPr>
          <w:color w:val="000000"/>
        </w:rPr>
        <w:t>Kupar</w:t>
      </w:r>
      <w:proofErr w:type="spellEnd"/>
      <w:r w:rsidR="001B4136" w:rsidRPr="00AA370A">
        <w:rPr>
          <w:color w:val="000000"/>
        </w:rPr>
        <w:t xml:space="preserve"> and colleagues.</w:t>
      </w:r>
    </w:p>
    <w:p w14:paraId="6039AFD4" w14:textId="77777777" w:rsidR="001B4136" w:rsidRDefault="001B4136" w:rsidP="001B4136">
      <w:pPr>
        <w:pStyle w:val="p"/>
        <w:spacing w:before="166" w:beforeAutospacing="0" w:after="166" w:afterAutospacing="0" w:line="480" w:lineRule="auto"/>
        <w:ind w:firstLine="720"/>
        <w:rPr>
          <w:color w:val="000000"/>
        </w:rPr>
      </w:pPr>
      <w:r w:rsidRPr="00AA370A">
        <w:rPr>
          <w:color w:val="000000"/>
        </w:rPr>
        <w:t xml:space="preserve">In addition to eculizumab, other complement inhibitors are currently in trial, some of which will likely be available in the near future. </w:t>
      </w:r>
      <w:r w:rsidRPr="005407E7">
        <w:rPr>
          <w:color w:val="000000"/>
        </w:rPr>
        <w:t xml:space="preserve"> </w:t>
      </w:r>
      <w:r w:rsidRPr="00AA370A">
        <w:rPr>
          <w:color w:val="000000"/>
        </w:rPr>
        <w:t xml:space="preserve">Given this changing pharmacological landscape of complement regulatory therapeutics, Kevin </w:t>
      </w:r>
      <w:proofErr w:type="spellStart"/>
      <w:r w:rsidRPr="00AA370A">
        <w:rPr>
          <w:color w:val="000000"/>
        </w:rPr>
        <w:t>Kuo</w:t>
      </w:r>
      <w:proofErr w:type="spellEnd"/>
      <w:r w:rsidRPr="00AA370A">
        <w:rPr>
          <w:color w:val="000000"/>
        </w:rPr>
        <w:t xml:space="preserve"> and Chris </w:t>
      </w:r>
      <w:proofErr w:type="spellStart"/>
      <w:r w:rsidRPr="00AA370A">
        <w:rPr>
          <w:color w:val="000000"/>
        </w:rPr>
        <w:t>Patriquin</w:t>
      </w:r>
      <w:proofErr w:type="spellEnd"/>
      <w:r w:rsidRPr="00AA370A">
        <w:rPr>
          <w:color w:val="000000"/>
        </w:rPr>
        <w:t xml:space="preserve"> provide a nice overview of the different complement inhibitory </w:t>
      </w:r>
      <w:r w:rsidRPr="00AA370A">
        <w:rPr>
          <w:color w:val="000000"/>
        </w:rPr>
        <w:lastRenderedPageBreak/>
        <w:t>approaches currently available and under study, including the</w:t>
      </w:r>
      <w:r>
        <w:rPr>
          <w:color w:val="000000"/>
        </w:rPr>
        <w:t>ir</w:t>
      </w:r>
      <w:r w:rsidRPr="00AA370A">
        <w:rPr>
          <w:color w:val="000000"/>
        </w:rPr>
        <w:t xml:space="preserve"> potential advantages and limitations.</w:t>
      </w:r>
      <w:r>
        <w:rPr>
          <w:color w:val="000000"/>
        </w:rPr>
        <w:t xml:space="preserve">  </w:t>
      </w:r>
      <w:r w:rsidRPr="00AA370A">
        <w:rPr>
          <w:color w:val="000000"/>
        </w:rPr>
        <w:t xml:space="preserve">In addition, indirect approaches aimed at targeting pathophysiological processes that likely involve complement, such as the use of </w:t>
      </w:r>
      <w:proofErr w:type="spellStart"/>
      <w:r w:rsidRPr="00AA370A">
        <w:rPr>
          <w:color w:val="000000"/>
        </w:rPr>
        <w:t>Caplicizumab</w:t>
      </w:r>
      <w:proofErr w:type="spellEnd"/>
      <w:r w:rsidRPr="00AA370A">
        <w:rPr>
          <w:color w:val="000000"/>
        </w:rPr>
        <w:t xml:space="preserve"> to treat thrombotic thrombocytopenic purpura, are outlined by </w:t>
      </w:r>
      <w:proofErr w:type="spellStart"/>
      <w:r w:rsidRPr="00AA370A">
        <w:rPr>
          <w:color w:val="000000"/>
        </w:rPr>
        <w:t>Marhsall</w:t>
      </w:r>
      <w:proofErr w:type="spellEnd"/>
      <w:r w:rsidRPr="00AA370A">
        <w:rPr>
          <w:color w:val="000000"/>
        </w:rPr>
        <w:t xml:space="preserve"> </w:t>
      </w:r>
      <w:proofErr w:type="spellStart"/>
      <w:r w:rsidRPr="00AA370A">
        <w:rPr>
          <w:color w:val="000000"/>
        </w:rPr>
        <w:t>Mazepa</w:t>
      </w:r>
      <w:proofErr w:type="spellEnd"/>
      <w:r w:rsidRPr="00AA370A">
        <w:rPr>
          <w:color w:val="000000"/>
        </w:rPr>
        <w:t>.</w:t>
      </w:r>
      <w:r>
        <w:rPr>
          <w:color w:val="000000"/>
        </w:rPr>
        <w:t xml:space="preserve"> Despite the promise of new</w:t>
      </w:r>
      <w:r w:rsidRPr="00AA370A">
        <w:rPr>
          <w:color w:val="000000"/>
        </w:rPr>
        <w:t xml:space="preserve"> complement inhibitory drugs, one of the significant</w:t>
      </w:r>
      <w:r>
        <w:rPr>
          <w:color w:val="000000"/>
        </w:rPr>
        <w:t xml:space="preserve"> </w:t>
      </w:r>
      <w:r w:rsidRPr="00AA370A">
        <w:rPr>
          <w:color w:val="000000"/>
        </w:rPr>
        <w:t>challenges</w:t>
      </w:r>
      <w:r>
        <w:rPr>
          <w:color w:val="000000"/>
        </w:rPr>
        <w:t xml:space="preserve"> remaining</w:t>
      </w:r>
      <w:r w:rsidRPr="00AA370A">
        <w:rPr>
          <w:color w:val="000000"/>
        </w:rPr>
        <w:t xml:space="preserve"> in the field is</w:t>
      </w:r>
      <w:r>
        <w:rPr>
          <w:color w:val="000000"/>
        </w:rPr>
        <w:t xml:space="preserve"> the</w:t>
      </w:r>
      <w:r w:rsidRPr="00AA370A">
        <w:rPr>
          <w:color w:val="000000"/>
        </w:rPr>
        <w:t xml:space="preserve"> accurate diagnos</w:t>
      </w:r>
      <w:r>
        <w:rPr>
          <w:color w:val="000000"/>
        </w:rPr>
        <w:t>is of</w:t>
      </w:r>
      <w:r w:rsidRPr="00AA370A">
        <w:rPr>
          <w:color w:val="000000"/>
        </w:rPr>
        <w:t xml:space="preserve"> complement</w:t>
      </w:r>
      <w:r>
        <w:rPr>
          <w:color w:val="000000"/>
        </w:rPr>
        <w:t>-driven effects</w:t>
      </w:r>
      <w:r w:rsidRPr="00AA370A">
        <w:rPr>
          <w:color w:val="000000"/>
        </w:rPr>
        <w:t xml:space="preserve"> in a given disease process.</w:t>
      </w:r>
      <w:r>
        <w:rPr>
          <w:color w:val="000000"/>
        </w:rPr>
        <w:t xml:space="preserve"> Novel</w:t>
      </w:r>
      <w:r w:rsidRPr="00AA370A">
        <w:rPr>
          <w:color w:val="000000"/>
        </w:rPr>
        <w:t xml:space="preserve"> tests are </w:t>
      </w:r>
      <w:r>
        <w:rPr>
          <w:color w:val="000000"/>
        </w:rPr>
        <w:t>in</w:t>
      </w:r>
      <w:r w:rsidRPr="00AA370A">
        <w:rPr>
          <w:color w:val="000000"/>
        </w:rPr>
        <w:t xml:space="preserve"> develop</w:t>
      </w:r>
      <w:r>
        <w:rPr>
          <w:color w:val="000000"/>
        </w:rPr>
        <w:t>ment</w:t>
      </w:r>
      <w:r w:rsidRPr="00AA370A">
        <w:rPr>
          <w:color w:val="000000"/>
        </w:rPr>
        <w:t xml:space="preserve"> </w:t>
      </w:r>
      <w:r>
        <w:rPr>
          <w:color w:val="000000"/>
        </w:rPr>
        <w:t xml:space="preserve">to </w:t>
      </w:r>
      <w:r w:rsidRPr="00AA370A">
        <w:rPr>
          <w:color w:val="000000"/>
        </w:rPr>
        <w:t xml:space="preserve">accurately </w:t>
      </w:r>
      <w:r>
        <w:rPr>
          <w:color w:val="000000"/>
        </w:rPr>
        <w:t xml:space="preserve">assess </w:t>
      </w:r>
      <w:r w:rsidRPr="00AA370A">
        <w:rPr>
          <w:color w:val="000000"/>
        </w:rPr>
        <w:t xml:space="preserve">complement activation. </w:t>
      </w:r>
      <w:proofErr w:type="spellStart"/>
      <w:r w:rsidRPr="00AA370A">
        <w:rPr>
          <w:color w:val="000000"/>
        </w:rPr>
        <w:t>Lillemor</w:t>
      </w:r>
      <w:proofErr w:type="spellEnd"/>
      <w:r w:rsidRPr="00AA370A">
        <w:rPr>
          <w:color w:val="000000"/>
        </w:rPr>
        <w:t xml:space="preserve"> </w:t>
      </w:r>
      <w:proofErr w:type="spellStart"/>
      <w:r w:rsidRPr="00AA370A">
        <w:rPr>
          <w:color w:val="000000"/>
        </w:rPr>
        <w:t>Skattum</w:t>
      </w:r>
      <w:proofErr w:type="spellEnd"/>
      <w:r w:rsidRPr="00AA370A">
        <w:rPr>
          <w:color w:val="000000"/>
        </w:rPr>
        <w:t xml:space="preserve"> provides an </w:t>
      </w:r>
      <w:r>
        <w:rPr>
          <w:color w:val="000000"/>
        </w:rPr>
        <w:t>outstanding</w:t>
      </w:r>
      <w:r w:rsidRPr="00AA370A">
        <w:rPr>
          <w:color w:val="000000"/>
        </w:rPr>
        <w:t xml:space="preserve"> overview of the status of currently available and upcoming assays that may aid clinicians </w:t>
      </w:r>
      <w:r>
        <w:rPr>
          <w:color w:val="000000"/>
        </w:rPr>
        <w:t>who are considering</w:t>
      </w:r>
      <w:r w:rsidRPr="00AA370A">
        <w:rPr>
          <w:color w:val="000000"/>
        </w:rPr>
        <w:t xml:space="preserve"> complement inhibitory approaches in patient</w:t>
      </w:r>
      <w:r>
        <w:rPr>
          <w:color w:val="000000"/>
        </w:rPr>
        <w:t>s</w:t>
      </w:r>
      <w:r w:rsidRPr="00AA370A">
        <w:rPr>
          <w:color w:val="000000"/>
        </w:rPr>
        <w:t xml:space="preserve">. </w:t>
      </w:r>
    </w:p>
    <w:p w14:paraId="201B3CF2" w14:textId="77777777" w:rsidR="001B4136" w:rsidRPr="00AA370A" w:rsidRDefault="001B4136" w:rsidP="001B4136">
      <w:pPr>
        <w:pStyle w:val="p"/>
        <w:spacing w:before="166" w:beforeAutospacing="0" w:after="166" w:afterAutospacing="0" w:line="480" w:lineRule="auto"/>
        <w:ind w:firstLine="720"/>
        <w:rPr>
          <w:color w:val="000000"/>
        </w:rPr>
      </w:pPr>
      <w:r>
        <w:rPr>
          <w:lang w:val="en"/>
        </w:rPr>
        <w:t>Despite successes, the clinical use of complement inhibitors brings formidable challenges. The exceptionally high cost of currently available drugs, which can exceed US$500,000 annually per patient, severely restricts their availability in certain markets. Generics will partially solve the cost issue after patent protections expire. However, in the interim, healthcare administrators need to facilitate price negotiation on th</w:t>
      </w:r>
      <w:bookmarkStart w:id="63" w:name="_GoBack"/>
      <w:bookmarkEnd w:id="63"/>
      <w:r>
        <w:rPr>
          <w:lang w:val="en"/>
        </w:rPr>
        <w:t xml:space="preserve">e national and international levels in order to enable broad accessibility to these drugs. </w:t>
      </w:r>
    </w:p>
    <w:p w14:paraId="4FFDDD17" w14:textId="462C0C3F" w:rsidR="001B4136" w:rsidRPr="00AA370A" w:rsidRDefault="001B4136" w:rsidP="001B4136">
      <w:pPr>
        <w:pStyle w:val="p"/>
        <w:spacing w:before="166" w:beforeAutospacing="0" w:after="166" w:afterAutospacing="0" w:line="480" w:lineRule="auto"/>
        <w:ind w:firstLine="720"/>
        <w:rPr>
          <w:color w:val="000000"/>
        </w:rPr>
      </w:pPr>
      <w:r w:rsidRPr="00AA370A">
        <w:rPr>
          <w:color w:val="000000"/>
        </w:rPr>
        <w:t>Taken together, this is an exciting time</w:t>
      </w:r>
      <w:r>
        <w:rPr>
          <w:color w:val="000000"/>
        </w:rPr>
        <w:t xml:space="preserve"> </w:t>
      </w:r>
      <w:r w:rsidR="0031155E">
        <w:rPr>
          <w:color w:val="000000"/>
        </w:rPr>
        <w:t xml:space="preserve">to examine </w:t>
      </w:r>
      <w:r>
        <w:rPr>
          <w:color w:val="000000"/>
        </w:rPr>
        <w:t>the</w:t>
      </w:r>
      <w:r w:rsidRPr="00AA370A">
        <w:rPr>
          <w:color w:val="000000"/>
        </w:rPr>
        <w:t xml:space="preserve"> intersection of transfusion medicine and complement.</w:t>
      </w:r>
      <w:r>
        <w:rPr>
          <w:color w:val="000000"/>
        </w:rPr>
        <w:t xml:space="preserve"> </w:t>
      </w:r>
      <w:r w:rsidRPr="00AA370A">
        <w:rPr>
          <w:color w:val="000000"/>
        </w:rPr>
        <w:t>The series of review</w:t>
      </w:r>
      <w:r>
        <w:rPr>
          <w:color w:val="000000"/>
        </w:rPr>
        <w:t xml:space="preserve"> articles in this issue, which we </w:t>
      </w:r>
      <w:r w:rsidRPr="00AA370A">
        <w:rPr>
          <w:color w:val="000000"/>
        </w:rPr>
        <w:t>outlined here</w:t>
      </w:r>
      <w:r>
        <w:rPr>
          <w:color w:val="000000"/>
        </w:rPr>
        <w:t>,</w:t>
      </w:r>
      <w:r w:rsidRPr="00AA370A">
        <w:rPr>
          <w:color w:val="000000"/>
        </w:rPr>
        <w:t xml:space="preserve"> provide a wealth of information </w:t>
      </w:r>
      <w:r>
        <w:rPr>
          <w:color w:val="000000"/>
        </w:rPr>
        <w:t>about</w:t>
      </w:r>
      <w:r w:rsidRPr="00AA370A">
        <w:rPr>
          <w:color w:val="000000"/>
        </w:rPr>
        <w:t xml:space="preserve"> the pathophysiology, diagnosis</w:t>
      </w:r>
      <w:r>
        <w:rPr>
          <w:color w:val="000000"/>
        </w:rPr>
        <w:t>,</w:t>
      </w:r>
      <w:r w:rsidRPr="00AA370A">
        <w:rPr>
          <w:color w:val="000000"/>
        </w:rPr>
        <w:t xml:space="preserve"> and treatment of complemen</w:t>
      </w:r>
      <w:r>
        <w:rPr>
          <w:color w:val="000000"/>
        </w:rPr>
        <w:t>t</w:t>
      </w:r>
      <w:r w:rsidRPr="00AA370A">
        <w:rPr>
          <w:color w:val="000000"/>
        </w:rPr>
        <w:t xml:space="preserve">-related disorders </w:t>
      </w:r>
      <w:r>
        <w:rPr>
          <w:color w:val="000000"/>
        </w:rPr>
        <w:t>in the context of</w:t>
      </w:r>
      <w:r w:rsidRPr="00AA370A">
        <w:rPr>
          <w:color w:val="000000"/>
        </w:rPr>
        <w:t xml:space="preserve"> transfusion medicine.</w:t>
      </w:r>
      <w:r>
        <w:rPr>
          <w:color w:val="000000"/>
        </w:rPr>
        <w:t xml:space="preserve"> T</w:t>
      </w:r>
      <w:r w:rsidRPr="00AA370A">
        <w:rPr>
          <w:color w:val="000000"/>
        </w:rPr>
        <w:t>hese</w:t>
      </w:r>
      <w:r>
        <w:rPr>
          <w:color w:val="000000"/>
        </w:rPr>
        <w:t xml:space="preserve"> timely</w:t>
      </w:r>
      <w:r w:rsidRPr="00AA370A">
        <w:rPr>
          <w:color w:val="000000"/>
        </w:rPr>
        <w:t xml:space="preserve"> articles will be useful to a </w:t>
      </w:r>
      <w:r>
        <w:rPr>
          <w:color w:val="000000"/>
        </w:rPr>
        <w:t>wide</w:t>
      </w:r>
      <w:r w:rsidRPr="00AA370A">
        <w:rPr>
          <w:color w:val="000000"/>
        </w:rPr>
        <w:t xml:space="preserve"> </w:t>
      </w:r>
      <w:r>
        <w:rPr>
          <w:color w:val="000000"/>
        </w:rPr>
        <w:t>array</w:t>
      </w:r>
      <w:r w:rsidRPr="00AA370A">
        <w:rPr>
          <w:color w:val="000000"/>
        </w:rPr>
        <w:t xml:space="preserve"> of individuals, from those studying the role of complement in the development of disease to those seeking to leverage this information to treat patients.</w:t>
      </w:r>
      <w:r>
        <w:rPr>
          <w:color w:val="000000"/>
        </w:rPr>
        <w:t xml:space="preserve"> </w:t>
      </w:r>
    </w:p>
    <w:p w14:paraId="591798A4" w14:textId="77777777" w:rsidR="001B4136" w:rsidRPr="00AA370A" w:rsidRDefault="001B4136" w:rsidP="001B4136">
      <w:pPr>
        <w:pStyle w:val="p"/>
        <w:spacing w:before="166" w:beforeAutospacing="0" w:after="166" w:afterAutospacing="0" w:line="480" w:lineRule="auto"/>
        <w:rPr>
          <w:color w:val="000000"/>
        </w:rPr>
      </w:pPr>
    </w:p>
    <w:p w14:paraId="5235362C" w14:textId="77777777" w:rsidR="00734917" w:rsidRDefault="00734917">
      <w:pPr>
        <w:rPr>
          <w:rFonts w:ascii="Times New Roman" w:eastAsia="Times New Roman" w:hAnsi="Times New Roman" w:cs="Times New Roman"/>
          <w:color w:val="000000"/>
        </w:rPr>
      </w:pPr>
      <w:r>
        <w:rPr>
          <w:color w:val="000000"/>
        </w:rPr>
        <w:br w:type="page"/>
      </w:r>
    </w:p>
    <w:p w14:paraId="7947AAE2" w14:textId="28AB6457" w:rsidR="001B4136" w:rsidRPr="00AA370A" w:rsidRDefault="001B4136" w:rsidP="001B4136">
      <w:pPr>
        <w:pStyle w:val="p"/>
        <w:spacing w:before="166" w:beforeAutospacing="0" w:after="166" w:afterAutospacing="0" w:line="480" w:lineRule="auto"/>
        <w:rPr>
          <w:color w:val="000000"/>
        </w:rPr>
      </w:pPr>
      <w:r w:rsidRPr="00AA370A">
        <w:rPr>
          <w:color w:val="000000"/>
        </w:rPr>
        <w:lastRenderedPageBreak/>
        <w:t>References:</w:t>
      </w:r>
    </w:p>
    <w:p w14:paraId="0C08968E" w14:textId="77777777" w:rsidR="00734917" w:rsidRPr="00734917" w:rsidRDefault="001B4136" w:rsidP="00734917">
      <w:pPr>
        <w:pStyle w:val="EndNoteBibliography"/>
        <w:rPr>
          <w:noProof/>
        </w:rPr>
      </w:pPr>
      <w:r w:rsidRPr="00AA370A">
        <w:rPr>
          <w:rFonts w:ascii="Times New Roman" w:hAnsi="Times New Roman" w:cs="Times New Roman"/>
        </w:rPr>
        <w:fldChar w:fldCharType="begin"/>
      </w:r>
      <w:r w:rsidRPr="00AA370A">
        <w:rPr>
          <w:rFonts w:ascii="Times New Roman" w:hAnsi="Times New Roman" w:cs="Times New Roman"/>
        </w:rPr>
        <w:instrText xml:space="preserve"> ADDIN EN.REFLIST </w:instrText>
      </w:r>
      <w:r w:rsidRPr="00AA370A">
        <w:rPr>
          <w:rFonts w:ascii="Times New Roman" w:hAnsi="Times New Roman" w:cs="Times New Roman"/>
        </w:rPr>
        <w:fldChar w:fldCharType="separate"/>
      </w:r>
      <w:r w:rsidR="00734917" w:rsidRPr="00734917">
        <w:rPr>
          <w:noProof/>
        </w:rPr>
        <w:t xml:space="preserve">[1] A.M. Silverstein, A.A. Bialasiewicz. History of immunology. A history of theories of acquired immunity, </w:t>
      </w:r>
      <w:r w:rsidR="00734917" w:rsidRPr="00734917">
        <w:rPr>
          <w:i/>
          <w:noProof/>
        </w:rPr>
        <w:t>Cell Immunol</w:t>
      </w:r>
      <w:r w:rsidR="00734917" w:rsidRPr="00734917">
        <w:rPr>
          <w:noProof/>
        </w:rPr>
        <w:t xml:space="preserve"> 1980; 51:151-167.</w:t>
      </w:r>
    </w:p>
    <w:p w14:paraId="21AC82EB" w14:textId="77777777" w:rsidR="00734917" w:rsidRPr="00734917" w:rsidRDefault="00734917" w:rsidP="00734917">
      <w:pPr>
        <w:pStyle w:val="EndNoteBibliography"/>
        <w:rPr>
          <w:noProof/>
        </w:rPr>
      </w:pPr>
      <w:r w:rsidRPr="00734917">
        <w:rPr>
          <w:noProof/>
        </w:rPr>
        <w:t xml:space="preserve">[2] E.S. Reis, D.C. Mastellos, G. Hajishengallis, J.D. Lambris. New insights into the immune functions of complement, </w:t>
      </w:r>
      <w:r w:rsidRPr="00734917">
        <w:rPr>
          <w:i/>
          <w:noProof/>
        </w:rPr>
        <w:t>Nat Rev Immunol</w:t>
      </w:r>
      <w:r w:rsidRPr="00734917">
        <w:rPr>
          <w:noProof/>
        </w:rPr>
        <w:t xml:space="preserve"> 2019.</w:t>
      </w:r>
    </w:p>
    <w:p w14:paraId="63026766" w14:textId="77777777" w:rsidR="00734917" w:rsidRPr="00734917" w:rsidRDefault="00734917" w:rsidP="00734917">
      <w:pPr>
        <w:pStyle w:val="EndNoteBibliography"/>
        <w:rPr>
          <w:noProof/>
        </w:rPr>
      </w:pPr>
      <w:r w:rsidRPr="00734917">
        <w:rPr>
          <w:noProof/>
        </w:rPr>
        <w:t xml:space="preserve">[3] C.P. Engelfriet. The immune destruction of red cells, </w:t>
      </w:r>
      <w:r w:rsidRPr="00734917">
        <w:rPr>
          <w:i/>
          <w:noProof/>
        </w:rPr>
        <w:t>Transfus Med</w:t>
      </w:r>
      <w:r w:rsidRPr="00734917">
        <w:rPr>
          <w:noProof/>
        </w:rPr>
        <w:t xml:space="preserve"> 1992; 2:1-6.</w:t>
      </w:r>
    </w:p>
    <w:p w14:paraId="7FC2C071" w14:textId="77777777" w:rsidR="00734917" w:rsidRPr="00734917" w:rsidRDefault="00734917" w:rsidP="00734917">
      <w:pPr>
        <w:pStyle w:val="EndNoteBibliography"/>
        <w:rPr>
          <w:noProof/>
        </w:rPr>
      </w:pPr>
      <w:r w:rsidRPr="00734917">
        <w:rPr>
          <w:noProof/>
        </w:rPr>
        <w:t xml:space="preserve">[4] D.C. Mastellos, D. Ricklin, J.D. Lambris. Clinical promise of next-generation complement therapeutics, </w:t>
      </w:r>
      <w:r w:rsidRPr="00734917">
        <w:rPr>
          <w:i/>
          <w:noProof/>
        </w:rPr>
        <w:t>Nat Rev Drug Discov</w:t>
      </w:r>
      <w:r w:rsidRPr="00734917">
        <w:rPr>
          <w:noProof/>
        </w:rPr>
        <w:t xml:space="preserve"> 2019.</w:t>
      </w:r>
    </w:p>
    <w:p w14:paraId="045A1184" w14:textId="6E459DC7" w:rsidR="001B4136" w:rsidRPr="00AA370A" w:rsidRDefault="001B4136" w:rsidP="001B4136">
      <w:pPr>
        <w:spacing w:line="480" w:lineRule="auto"/>
        <w:rPr>
          <w:rFonts w:ascii="Times New Roman" w:hAnsi="Times New Roman" w:cs="Times New Roman"/>
        </w:rPr>
      </w:pPr>
      <w:r w:rsidRPr="00AA370A">
        <w:rPr>
          <w:rFonts w:ascii="Times New Roman" w:hAnsi="Times New Roman" w:cs="Times New Roman"/>
        </w:rPr>
        <w:fldChar w:fldCharType="end"/>
      </w:r>
    </w:p>
    <w:p w14:paraId="0E5EA237" w14:textId="77777777" w:rsidR="001B4136" w:rsidRDefault="001B4136" w:rsidP="001B4136"/>
    <w:p w14:paraId="03F71B26" w14:textId="2CF17258" w:rsidR="00BC76F4" w:rsidRDefault="00BC76F4"/>
    <w:sectPr w:rsidR="00BC76F4" w:rsidSect="00440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B2459"/>
    <w:multiLevelType w:val="hybridMultilevel"/>
    <w:tmpl w:val="F51A787A"/>
    <w:numStyleLink w:val="ImportedStyle1"/>
  </w:abstractNum>
  <w:abstractNum w:abstractNumId="1" w15:restartNumberingAfterBreak="0">
    <w:nsid w:val="589C12C0"/>
    <w:multiLevelType w:val="hybridMultilevel"/>
    <w:tmpl w:val="F51A787A"/>
    <w:styleLink w:val="ImportedStyle1"/>
    <w:lvl w:ilvl="0" w:tplc="7C94C85A">
      <w:start w:val="1"/>
      <w:numFmt w:val="decimal"/>
      <w:lvlText w:val="%1."/>
      <w:lvlJc w:val="left"/>
      <w:pPr>
        <w:ind w:left="2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16F3AA">
      <w:start w:val="1"/>
      <w:numFmt w:val="decimal"/>
      <w:lvlText w:val="%2."/>
      <w:lvlJc w:val="left"/>
      <w:pPr>
        <w:ind w:left="10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2A5328">
      <w:start w:val="1"/>
      <w:numFmt w:val="decimal"/>
      <w:lvlText w:val="%3."/>
      <w:lvlJc w:val="left"/>
      <w:pPr>
        <w:ind w:left="18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6E80F4">
      <w:start w:val="1"/>
      <w:numFmt w:val="decimal"/>
      <w:lvlText w:val="%4."/>
      <w:lvlJc w:val="left"/>
      <w:pPr>
        <w:ind w:left="26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B6A668">
      <w:start w:val="1"/>
      <w:numFmt w:val="decimal"/>
      <w:lvlText w:val="%5."/>
      <w:lvlJc w:val="left"/>
      <w:pPr>
        <w:ind w:left="34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0CE3A6">
      <w:start w:val="1"/>
      <w:numFmt w:val="decimal"/>
      <w:lvlText w:val="%6."/>
      <w:lvlJc w:val="left"/>
      <w:pPr>
        <w:ind w:left="42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521EFC">
      <w:start w:val="1"/>
      <w:numFmt w:val="decimal"/>
      <w:lvlText w:val="%7."/>
      <w:lvlJc w:val="left"/>
      <w:pPr>
        <w:ind w:left="50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5920406">
      <w:start w:val="1"/>
      <w:numFmt w:val="decimal"/>
      <w:lvlText w:val="%8."/>
      <w:lvlJc w:val="left"/>
      <w:pPr>
        <w:ind w:left="58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6E20508">
      <w:start w:val="1"/>
      <w:numFmt w:val="decimal"/>
      <w:lvlText w:val="%9."/>
      <w:lvlJc w:val="left"/>
      <w:pPr>
        <w:ind w:left="66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ar, A.P.J. (Alexander)">
    <w15:presenceInfo w15:providerId="AD" w15:userId="S-1-5-21-2169066342-2480738168-2466311071-9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ransfusion Med Rev&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B4136"/>
    <w:rsid w:val="000022E8"/>
    <w:rsid w:val="00006047"/>
    <w:rsid w:val="00041D2B"/>
    <w:rsid w:val="00043B21"/>
    <w:rsid w:val="00051D39"/>
    <w:rsid w:val="00060CE9"/>
    <w:rsid w:val="00066DAD"/>
    <w:rsid w:val="00067BAB"/>
    <w:rsid w:val="000769C7"/>
    <w:rsid w:val="00086FA4"/>
    <w:rsid w:val="0009079F"/>
    <w:rsid w:val="0009140B"/>
    <w:rsid w:val="000A78E0"/>
    <w:rsid w:val="000B34A2"/>
    <w:rsid w:val="000C0679"/>
    <w:rsid w:val="000D16DA"/>
    <w:rsid w:val="000D3828"/>
    <w:rsid w:val="000D3AA1"/>
    <w:rsid w:val="000E376B"/>
    <w:rsid w:val="000E414E"/>
    <w:rsid w:val="000E52D9"/>
    <w:rsid w:val="000F0F5A"/>
    <w:rsid w:val="000F4330"/>
    <w:rsid w:val="00101509"/>
    <w:rsid w:val="00106ED3"/>
    <w:rsid w:val="001129DA"/>
    <w:rsid w:val="00123399"/>
    <w:rsid w:val="0012514B"/>
    <w:rsid w:val="00125B57"/>
    <w:rsid w:val="00140993"/>
    <w:rsid w:val="00141962"/>
    <w:rsid w:val="00145258"/>
    <w:rsid w:val="00153833"/>
    <w:rsid w:val="001631E4"/>
    <w:rsid w:val="00174A2A"/>
    <w:rsid w:val="0018592A"/>
    <w:rsid w:val="00190C9A"/>
    <w:rsid w:val="001B4136"/>
    <w:rsid w:val="001B5AF9"/>
    <w:rsid w:val="001C54E5"/>
    <w:rsid w:val="001F2BBC"/>
    <w:rsid w:val="00201758"/>
    <w:rsid w:val="00206557"/>
    <w:rsid w:val="0023385C"/>
    <w:rsid w:val="002377F7"/>
    <w:rsid w:val="002472A3"/>
    <w:rsid w:val="002923C7"/>
    <w:rsid w:val="0029470E"/>
    <w:rsid w:val="002A1CE3"/>
    <w:rsid w:val="002A6B12"/>
    <w:rsid w:val="002B11CD"/>
    <w:rsid w:val="002C1CF4"/>
    <w:rsid w:val="002C35A2"/>
    <w:rsid w:val="002D415C"/>
    <w:rsid w:val="002D63A5"/>
    <w:rsid w:val="002E4127"/>
    <w:rsid w:val="002F15C1"/>
    <w:rsid w:val="0031155E"/>
    <w:rsid w:val="003401A5"/>
    <w:rsid w:val="00364D41"/>
    <w:rsid w:val="003B7CD3"/>
    <w:rsid w:val="003C6127"/>
    <w:rsid w:val="003D6768"/>
    <w:rsid w:val="003E5DAC"/>
    <w:rsid w:val="004243BF"/>
    <w:rsid w:val="00432F83"/>
    <w:rsid w:val="0044033D"/>
    <w:rsid w:val="00441E4E"/>
    <w:rsid w:val="00442447"/>
    <w:rsid w:val="00443596"/>
    <w:rsid w:val="00443E32"/>
    <w:rsid w:val="004444B0"/>
    <w:rsid w:val="0045777A"/>
    <w:rsid w:val="00464A34"/>
    <w:rsid w:val="00470576"/>
    <w:rsid w:val="00490406"/>
    <w:rsid w:val="004A0620"/>
    <w:rsid w:val="004A3B1D"/>
    <w:rsid w:val="004B2452"/>
    <w:rsid w:val="004D01AC"/>
    <w:rsid w:val="004E7B8E"/>
    <w:rsid w:val="00542052"/>
    <w:rsid w:val="00547199"/>
    <w:rsid w:val="00554219"/>
    <w:rsid w:val="00563F5E"/>
    <w:rsid w:val="00585F94"/>
    <w:rsid w:val="005A0647"/>
    <w:rsid w:val="005A3524"/>
    <w:rsid w:val="005C0DEE"/>
    <w:rsid w:val="005E5EB4"/>
    <w:rsid w:val="005E76AB"/>
    <w:rsid w:val="005F3A3B"/>
    <w:rsid w:val="006037BC"/>
    <w:rsid w:val="0061337C"/>
    <w:rsid w:val="006210CD"/>
    <w:rsid w:val="0062267C"/>
    <w:rsid w:val="006255B0"/>
    <w:rsid w:val="006465DE"/>
    <w:rsid w:val="00651E3C"/>
    <w:rsid w:val="00652116"/>
    <w:rsid w:val="00654216"/>
    <w:rsid w:val="006550E9"/>
    <w:rsid w:val="00655C45"/>
    <w:rsid w:val="0066630B"/>
    <w:rsid w:val="006672AA"/>
    <w:rsid w:val="006A10A2"/>
    <w:rsid w:val="006B3990"/>
    <w:rsid w:val="006E0730"/>
    <w:rsid w:val="006F2EA9"/>
    <w:rsid w:val="00715D1C"/>
    <w:rsid w:val="007168E6"/>
    <w:rsid w:val="00734917"/>
    <w:rsid w:val="00736848"/>
    <w:rsid w:val="007527E5"/>
    <w:rsid w:val="00753324"/>
    <w:rsid w:val="0076265C"/>
    <w:rsid w:val="00766651"/>
    <w:rsid w:val="0077157B"/>
    <w:rsid w:val="00776E90"/>
    <w:rsid w:val="00793D2B"/>
    <w:rsid w:val="007B124C"/>
    <w:rsid w:val="007B1BC3"/>
    <w:rsid w:val="007F13B7"/>
    <w:rsid w:val="008010C1"/>
    <w:rsid w:val="0080333E"/>
    <w:rsid w:val="0081638E"/>
    <w:rsid w:val="00822E1F"/>
    <w:rsid w:val="008321D1"/>
    <w:rsid w:val="008330BD"/>
    <w:rsid w:val="0083544F"/>
    <w:rsid w:val="008602F7"/>
    <w:rsid w:val="00865438"/>
    <w:rsid w:val="00872AE2"/>
    <w:rsid w:val="00874F73"/>
    <w:rsid w:val="00890E84"/>
    <w:rsid w:val="00892962"/>
    <w:rsid w:val="0089628A"/>
    <w:rsid w:val="008D6BE0"/>
    <w:rsid w:val="008F304D"/>
    <w:rsid w:val="00920F29"/>
    <w:rsid w:val="00921446"/>
    <w:rsid w:val="009220D0"/>
    <w:rsid w:val="00931994"/>
    <w:rsid w:val="009355DD"/>
    <w:rsid w:val="00945CC6"/>
    <w:rsid w:val="00961EBC"/>
    <w:rsid w:val="009627AD"/>
    <w:rsid w:val="009A1E52"/>
    <w:rsid w:val="009A6EE2"/>
    <w:rsid w:val="009B400D"/>
    <w:rsid w:val="009C164D"/>
    <w:rsid w:val="009D279E"/>
    <w:rsid w:val="00A145F5"/>
    <w:rsid w:val="00A64B00"/>
    <w:rsid w:val="00A818F8"/>
    <w:rsid w:val="00A85D35"/>
    <w:rsid w:val="00AA15ED"/>
    <w:rsid w:val="00AA305C"/>
    <w:rsid w:val="00AC01E0"/>
    <w:rsid w:val="00AD146E"/>
    <w:rsid w:val="00B01243"/>
    <w:rsid w:val="00B13931"/>
    <w:rsid w:val="00B37157"/>
    <w:rsid w:val="00B403EF"/>
    <w:rsid w:val="00B45E13"/>
    <w:rsid w:val="00B63397"/>
    <w:rsid w:val="00B74068"/>
    <w:rsid w:val="00B91DEE"/>
    <w:rsid w:val="00BA03D7"/>
    <w:rsid w:val="00BC11ED"/>
    <w:rsid w:val="00BC76F4"/>
    <w:rsid w:val="00BD3CD2"/>
    <w:rsid w:val="00C162AB"/>
    <w:rsid w:val="00C24094"/>
    <w:rsid w:val="00C4380F"/>
    <w:rsid w:val="00C506BA"/>
    <w:rsid w:val="00C507A7"/>
    <w:rsid w:val="00C74E4F"/>
    <w:rsid w:val="00C80AA0"/>
    <w:rsid w:val="00C81C43"/>
    <w:rsid w:val="00C921CF"/>
    <w:rsid w:val="00CB42C4"/>
    <w:rsid w:val="00CE615C"/>
    <w:rsid w:val="00D12869"/>
    <w:rsid w:val="00D2493C"/>
    <w:rsid w:val="00D45FBE"/>
    <w:rsid w:val="00D47ABB"/>
    <w:rsid w:val="00D51072"/>
    <w:rsid w:val="00D54455"/>
    <w:rsid w:val="00D5540C"/>
    <w:rsid w:val="00D84E9D"/>
    <w:rsid w:val="00D94E9C"/>
    <w:rsid w:val="00D95A0D"/>
    <w:rsid w:val="00DA23EB"/>
    <w:rsid w:val="00DA430C"/>
    <w:rsid w:val="00DC2639"/>
    <w:rsid w:val="00DC6D26"/>
    <w:rsid w:val="00DF0E32"/>
    <w:rsid w:val="00DF4F8C"/>
    <w:rsid w:val="00E02882"/>
    <w:rsid w:val="00E13DBC"/>
    <w:rsid w:val="00E14C1C"/>
    <w:rsid w:val="00E20CEB"/>
    <w:rsid w:val="00E660D5"/>
    <w:rsid w:val="00E67D98"/>
    <w:rsid w:val="00E73CFB"/>
    <w:rsid w:val="00E77600"/>
    <w:rsid w:val="00E95615"/>
    <w:rsid w:val="00EB2BBB"/>
    <w:rsid w:val="00EB2E92"/>
    <w:rsid w:val="00EB7B71"/>
    <w:rsid w:val="00EC000B"/>
    <w:rsid w:val="00ED5BDD"/>
    <w:rsid w:val="00EF75B7"/>
    <w:rsid w:val="00F03A29"/>
    <w:rsid w:val="00F060E9"/>
    <w:rsid w:val="00F13C32"/>
    <w:rsid w:val="00F16AFF"/>
    <w:rsid w:val="00F21697"/>
    <w:rsid w:val="00F272AC"/>
    <w:rsid w:val="00F33A57"/>
    <w:rsid w:val="00F33B47"/>
    <w:rsid w:val="00F352FF"/>
    <w:rsid w:val="00F6293A"/>
    <w:rsid w:val="00F724A7"/>
    <w:rsid w:val="00F77B5B"/>
    <w:rsid w:val="00F932C6"/>
    <w:rsid w:val="00F9683A"/>
    <w:rsid w:val="00FB34F1"/>
    <w:rsid w:val="00FD17A5"/>
    <w:rsid w:val="00FD6F83"/>
    <w:rsid w:val="00FE01FE"/>
    <w:rsid w:val="00FE3BDA"/>
    <w:rsid w:val="00FE71EE"/>
    <w:rsid w:val="00FF066A"/>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82FD"/>
  <w14:defaultImageDpi w14:val="32767"/>
  <w15:chartTrackingRefBased/>
  <w15:docId w15:val="{630AA853-DACB-504A-9EB5-98191397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1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
    <w:name w:val="p"/>
    <w:basedOn w:val="Standaard"/>
    <w:link w:val="pChar"/>
    <w:rsid w:val="001B41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ardalinea-lettertype"/>
    <w:rsid w:val="001B4136"/>
  </w:style>
  <w:style w:type="character" w:customStyle="1" w:styleId="pChar">
    <w:name w:val="p Char"/>
    <w:basedOn w:val="Standaardalinea-lettertype"/>
    <w:link w:val="p"/>
    <w:rsid w:val="001B4136"/>
    <w:rPr>
      <w:rFonts w:ascii="Times New Roman" w:eastAsia="Times New Roman" w:hAnsi="Times New Roman" w:cs="Times New Roman"/>
    </w:rPr>
  </w:style>
  <w:style w:type="paragraph" w:customStyle="1" w:styleId="EndNoteBibliography">
    <w:name w:val="EndNote Bibliography"/>
    <w:basedOn w:val="Standaard"/>
    <w:link w:val="EndNoteBibliographyChar"/>
    <w:rsid w:val="001B4136"/>
    <w:rPr>
      <w:rFonts w:ascii="Calibri" w:eastAsia="Times New Roman" w:hAnsi="Calibri" w:cs="Calibri"/>
    </w:rPr>
  </w:style>
  <w:style w:type="character" w:customStyle="1" w:styleId="EndNoteBibliographyChar">
    <w:name w:val="EndNote Bibliography Char"/>
    <w:basedOn w:val="pChar"/>
    <w:link w:val="EndNoteBibliography"/>
    <w:rsid w:val="001B4136"/>
    <w:rPr>
      <w:rFonts w:ascii="Calibri" w:eastAsia="Times New Roman" w:hAnsi="Calibri" w:cs="Calibri"/>
    </w:rPr>
  </w:style>
  <w:style w:type="paragraph" w:customStyle="1" w:styleId="BodyA">
    <w:name w:val="Body A"/>
    <w:rsid w:val="001B413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
    <w:name w:val="None"/>
    <w:rsid w:val="001B4136"/>
  </w:style>
  <w:style w:type="character" w:styleId="Verwijzingopmerking">
    <w:name w:val="annotation reference"/>
    <w:basedOn w:val="Standaardalinea-lettertype"/>
    <w:uiPriority w:val="99"/>
    <w:semiHidden/>
    <w:unhideWhenUsed/>
    <w:rsid w:val="001B4136"/>
    <w:rPr>
      <w:sz w:val="16"/>
      <w:szCs w:val="16"/>
    </w:rPr>
  </w:style>
  <w:style w:type="paragraph" w:styleId="Tekstopmerking">
    <w:name w:val="annotation text"/>
    <w:basedOn w:val="Standaard"/>
    <w:link w:val="TekstopmerkingChar"/>
    <w:uiPriority w:val="99"/>
    <w:semiHidden/>
    <w:unhideWhenUsed/>
    <w:rsid w:val="001B4136"/>
    <w:rPr>
      <w:sz w:val="20"/>
      <w:szCs w:val="20"/>
    </w:rPr>
  </w:style>
  <w:style w:type="character" w:customStyle="1" w:styleId="TekstopmerkingChar">
    <w:name w:val="Tekst opmerking Char"/>
    <w:basedOn w:val="Standaardalinea-lettertype"/>
    <w:link w:val="Tekstopmerking"/>
    <w:uiPriority w:val="99"/>
    <w:semiHidden/>
    <w:rsid w:val="001B4136"/>
    <w:rPr>
      <w:sz w:val="20"/>
      <w:szCs w:val="20"/>
    </w:rPr>
  </w:style>
  <w:style w:type="paragraph" w:styleId="Ballontekst">
    <w:name w:val="Balloon Text"/>
    <w:basedOn w:val="Standaard"/>
    <w:link w:val="BallontekstChar"/>
    <w:uiPriority w:val="99"/>
    <w:semiHidden/>
    <w:unhideWhenUsed/>
    <w:rsid w:val="001B413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B4136"/>
    <w:rPr>
      <w:rFonts w:ascii="Times New Roman" w:hAnsi="Times New Roman" w:cs="Times New Roman"/>
      <w:sz w:val="18"/>
      <w:szCs w:val="18"/>
    </w:rPr>
  </w:style>
  <w:style w:type="character" w:styleId="Hyperlink">
    <w:name w:val="Hyperlink"/>
    <w:basedOn w:val="Standaardalinea-lettertype"/>
    <w:unhideWhenUsed/>
    <w:rsid w:val="00734917"/>
    <w:rPr>
      <w:color w:val="0000FF"/>
      <w:u w:val="single"/>
    </w:rPr>
  </w:style>
  <w:style w:type="character" w:customStyle="1" w:styleId="Hyperlink0">
    <w:name w:val="Hyperlink.0"/>
    <w:basedOn w:val="None"/>
    <w:rsid w:val="00734917"/>
    <w:rPr>
      <w:rFonts w:ascii="Arial" w:eastAsia="Arial" w:hAnsi="Arial" w:cs="Arial"/>
      <w:caps w:val="0"/>
      <w:smallCaps w:val="0"/>
      <w:strike w:val="0"/>
      <w:dstrike w:val="0"/>
      <w:color w:val="000000"/>
      <w:u w:val="single" w:color="000000"/>
      <w:vertAlign w:val="baseline"/>
    </w:rPr>
  </w:style>
  <w:style w:type="numbering" w:customStyle="1" w:styleId="ImportedStyle1">
    <w:name w:val="Imported Style 1"/>
    <w:rsid w:val="00734917"/>
    <w:pPr>
      <w:numPr>
        <w:numId w:val="1"/>
      </w:numPr>
    </w:pPr>
  </w:style>
  <w:style w:type="paragraph" w:customStyle="1" w:styleId="EndNoteBibliographyTitle">
    <w:name w:val="EndNote Bibliography Title"/>
    <w:basedOn w:val="Standaard"/>
    <w:link w:val="EndNoteBibliographyTitleChar"/>
    <w:rsid w:val="00734917"/>
    <w:pPr>
      <w:jc w:val="center"/>
    </w:pPr>
    <w:rPr>
      <w:rFonts w:ascii="Calibri" w:hAnsi="Calibri" w:cs="Calibri"/>
    </w:rPr>
  </w:style>
  <w:style w:type="character" w:customStyle="1" w:styleId="EndNoteBibliographyTitleChar">
    <w:name w:val="EndNote Bibliography Title Char"/>
    <w:basedOn w:val="Standaardalinea-lettertype"/>
    <w:link w:val="EndNoteBibliographyTitle"/>
    <w:rsid w:val="00734917"/>
    <w:rPr>
      <w:rFonts w:ascii="Calibri" w:hAnsi="Calibri" w:cs="Calibri"/>
    </w:rPr>
  </w:style>
  <w:style w:type="paragraph" w:styleId="Geenafstand">
    <w:name w:val="No Spacing"/>
    <w:uiPriority w:val="1"/>
    <w:qFormat/>
    <w:rsid w:val="00D9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2184</Words>
  <Characters>12453</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Stowell, Sean R.</dc:creator>
  <cp:keywords/>
  <dc:description/>
  <cp:lastModifiedBy>Vlaar, A.P.J. (Alexander)</cp:lastModifiedBy>
  <cp:revision>4</cp:revision>
  <dcterms:created xsi:type="dcterms:W3CDTF">2019-09-07T00:24:00Z</dcterms:created>
  <dcterms:modified xsi:type="dcterms:W3CDTF">2019-09-08T14:02:00Z</dcterms:modified>
</cp:coreProperties>
</file>