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3D9C" w14:textId="77777777" w:rsidR="000E66DE" w:rsidRDefault="000E66DE" w:rsidP="000E66DE">
      <w:r>
        <w:t>Title:</w:t>
      </w:r>
    </w:p>
    <w:p w14:paraId="56765546" w14:textId="77777777" w:rsidR="000E66DE" w:rsidRDefault="000E66DE" w:rsidP="000E66DE">
      <w:r>
        <w:t>Antihypertensive drugs, incident dementia and the competing risk of death</w:t>
      </w:r>
    </w:p>
    <w:p w14:paraId="14B242D6" w14:textId="77777777" w:rsidR="000E66DE" w:rsidRDefault="000E66DE" w:rsidP="000E66DE">
      <w:r>
        <w:t>Authors:</w:t>
      </w:r>
    </w:p>
    <w:p w14:paraId="15BACE82" w14:textId="77777777" w:rsidR="000E66DE" w:rsidRPr="00050AA2" w:rsidRDefault="000E66DE" w:rsidP="000E66DE">
      <w:r w:rsidRPr="00050AA2">
        <w:t xml:space="preserve">Jan Willem van Dalen PhD </w:t>
      </w:r>
      <w:proofErr w:type="spellStart"/>
      <w:r w:rsidRPr="00050AA2">
        <w:rPr>
          <w:vertAlign w:val="superscript"/>
        </w:rPr>
        <w:t>a,b</w:t>
      </w:r>
      <w:proofErr w:type="spellEnd"/>
    </w:p>
    <w:p w14:paraId="3A90FEA2" w14:textId="77777777" w:rsidR="000E66DE" w:rsidRDefault="000E66DE" w:rsidP="000E66DE">
      <w:r w:rsidRPr="008A27DC">
        <w:t xml:space="preserve">Eric P. Moll van </w:t>
      </w:r>
      <w:proofErr w:type="spellStart"/>
      <w:r w:rsidRPr="008A27DC">
        <w:t>Char</w:t>
      </w:r>
      <w:r>
        <w:t>ante</w:t>
      </w:r>
      <w:proofErr w:type="spellEnd"/>
      <w:r>
        <w:t xml:space="preserve"> PhD </w:t>
      </w:r>
      <w:r w:rsidRPr="00280F44">
        <w:rPr>
          <w:vertAlign w:val="superscript"/>
        </w:rPr>
        <w:t>c</w:t>
      </w:r>
    </w:p>
    <w:p w14:paraId="67856989" w14:textId="77777777" w:rsidR="000E66DE" w:rsidRDefault="000E66DE" w:rsidP="000E66DE">
      <w:r>
        <w:t xml:space="preserve">Edo Richard, PhD </w:t>
      </w:r>
      <w:proofErr w:type="spellStart"/>
      <w:r>
        <w:rPr>
          <w:vertAlign w:val="superscript"/>
        </w:rPr>
        <w:t>b,a</w:t>
      </w:r>
      <w:proofErr w:type="spellEnd"/>
    </w:p>
    <w:p w14:paraId="042EA110" w14:textId="77777777" w:rsidR="000E66DE" w:rsidRPr="001472A9" w:rsidRDefault="000E66DE" w:rsidP="000E66DE">
      <w:r w:rsidRPr="001472A9">
        <w:t xml:space="preserve">W.A. van </w:t>
      </w:r>
      <w:proofErr w:type="spellStart"/>
      <w:r w:rsidRPr="001472A9">
        <w:t>Gool</w:t>
      </w:r>
      <w:proofErr w:type="spellEnd"/>
      <w:r w:rsidRPr="001472A9">
        <w:t xml:space="preserve">, </w:t>
      </w:r>
      <w:proofErr w:type="spellStart"/>
      <w:r w:rsidRPr="001472A9">
        <w:t>PhDa</w:t>
      </w:r>
      <w:proofErr w:type="spellEnd"/>
      <w:r w:rsidRPr="001472A9">
        <w:rPr>
          <w:vertAlign w:val="superscript"/>
        </w:rPr>
        <w:t xml:space="preserve"> </w:t>
      </w:r>
      <w:r>
        <w:rPr>
          <w:vertAlign w:val="superscript"/>
        </w:rPr>
        <w:t>a</w:t>
      </w:r>
    </w:p>
    <w:p w14:paraId="0BE592B2" w14:textId="77777777" w:rsidR="000E66DE" w:rsidRDefault="000E66DE" w:rsidP="000E66DE">
      <w:r w:rsidRPr="00280F44">
        <w:t>a Amsterdam UMC, University of</w:t>
      </w:r>
      <w:r>
        <w:t xml:space="preserve"> Amsterdam, Department of Neurology, Amsterdam, the Netherlands</w:t>
      </w:r>
    </w:p>
    <w:p w14:paraId="01396CC4" w14:textId="77777777" w:rsidR="000E66DE" w:rsidRDefault="000E66DE" w:rsidP="000E66DE">
      <w:r>
        <w:t xml:space="preserve">b </w:t>
      </w:r>
      <w:r w:rsidRPr="00280F44">
        <w:t xml:space="preserve">Dept of Neurology, Donders Institute for Brain, Behaviour and Cognition, Radboud University Medical </w:t>
      </w:r>
      <w:proofErr w:type="spellStart"/>
      <w:r w:rsidRPr="00280F44">
        <w:t>center</w:t>
      </w:r>
      <w:proofErr w:type="spellEnd"/>
      <w:r w:rsidRPr="00280F44">
        <w:t>, Nijmegen</w:t>
      </w:r>
    </w:p>
    <w:p w14:paraId="130E543A" w14:textId="77777777" w:rsidR="000E66DE" w:rsidRPr="00280F44" w:rsidRDefault="000E66DE" w:rsidP="000E66DE">
      <w:r w:rsidRPr="00280F44">
        <w:t>c Amsterdam UMC, University of Amsterdam, Department of</w:t>
      </w:r>
      <w:r>
        <w:t xml:space="preserve"> General Practise, Amsterdam, the Netherlands</w:t>
      </w:r>
    </w:p>
    <w:p w14:paraId="27C1F151" w14:textId="77777777" w:rsidR="000E66DE" w:rsidRPr="00280F44" w:rsidRDefault="000E66DE" w:rsidP="000E66DE"/>
    <w:p w14:paraId="565370E7" w14:textId="77777777" w:rsidR="000E66DE" w:rsidRPr="00280F44" w:rsidRDefault="000E66DE" w:rsidP="000E66DE">
      <w:r w:rsidRPr="00280F44">
        <w:t>Corresponding author:</w:t>
      </w:r>
    </w:p>
    <w:p w14:paraId="5A1F2027" w14:textId="77777777" w:rsidR="000E66DE" w:rsidRPr="009B641A" w:rsidRDefault="000E66DE" w:rsidP="000E66DE">
      <w:r w:rsidRPr="009B641A">
        <w:t>Jan Willem van Dalen</w:t>
      </w:r>
    </w:p>
    <w:p w14:paraId="77214C3C" w14:textId="77777777" w:rsidR="000E66DE" w:rsidRPr="00280F44" w:rsidRDefault="000E66DE" w:rsidP="000E66DE">
      <w:r w:rsidRPr="00280F44">
        <w:t>Department of Neurology, Room H2-225</w:t>
      </w:r>
    </w:p>
    <w:p w14:paraId="5376925B" w14:textId="77777777" w:rsidR="000E66DE" w:rsidRPr="00280F44" w:rsidRDefault="000E66DE" w:rsidP="000E66DE">
      <w:r w:rsidRPr="00280F44">
        <w:t>Amsterdam UMC,  University of A</w:t>
      </w:r>
      <w:r>
        <w:t>msterdam</w:t>
      </w:r>
    </w:p>
    <w:p w14:paraId="06D990F1" w14:textId="77777777" w:rsidR="000E66DE" w:rsidRPr="009B641A" w:rsidRDefault="000E66DE" w:rsidP="000E66DE">
      <w:proofErr w:type="spellStart"/>
      <w:r w:rsidRPr="009B641A">
        <w:t>Meibergdreef</w:t>
      </w:r>
      <w:proofErr w:type="spellEnd"/>
      <w:r w:rsidRPr="009B641A">
        <w:t xml:space="preserve"> 9</w:t>
      </w:r>
    </w:p>
    <w:p w14:paraId="639A25E5" w14:textId="77777777" w:rsidR="000E66DE" w:rsidRPr="009B641A" w:rsidRDefault="000E66DE" w:rsidP="000E66DE">
      <w:r w:rsidRPr="009B641A">
        <w:t>Amsterdam, the Netherlands</w:t>
      </w:r>
    </w:p>
    <w:p w14:paraId="2BACB2CF" w14:textId="77777777" w:rsidR="000E66DE" w:rsidRPr="009B641A" w:rsidRDefault="000E66DE" w:rsidP="000E66DE"/>
    <w:p w14:paraId="1B548944" w14:textId="77777777" w:rsidR="000E66DE" w:rsidRDefault="000E66DE" w:rsidP="000E66DE">
      <w:pPr>
        <w:rPr>
          <w:lang w:val="en-US"/>
        </w:rPr>
      </w:pPr>
      <w:r>
        <w:rPr>
          <w:b/>
          <w:lang w:val="en-US"/>
        </w:rPr>
        <w:t>Funding sources:</w:t>
      </w:r>
      <w:r>
        <w:rPr>
          <w:lang w:val="en-US"/>
        </w:rPr>
        <w:t xml:space="preserve"> Dutch Ministry of Health, Welfare and Sport; Dutch Innovation Fund of Collaborative Healthy Insurances; Netherlands </w:t>
      </w:r>
      <w:proofErr w:type="spellStart"/>
      <w:r>
        <w:rPr>
          <w:lang w:val="en-US"/>
        </w:rPr>
        <w:t>Organisation</w:t>
      </w:r>
      <w:proofErr w:type="spellEnd"/>
      <w:r>
        <w:rPr>
          <w:lang w:val="en-US"/>
        </w:rPr>
        <w:t xml:space="preserve"> for Health Research and Development.</w:t>
      </w:r>
    </w:p>
    <w:p w14:paraId="1522B5EB" w14:textId="77777777" w:rsidR="000E66DE" w:rsidRDefault="000E66DE" w:rsidP="000E66DE">
      <w:pPr>
        <w:rPr>
          <w:lang w:val="en-US"/>
        </w:rPr>
      </w:pPr>
      <w:r>
        <w:rPr>
          <w:lang w:val="en-US"/>
        </w:rPr>
        <w:t>Words (main text): 750</w:t>
      </w:r>
    </w:p>
    <w:p w14:paraId="6FA9C565" w14:textId="77777777" w:rsidR="000E66DE" w:rsidRDefault="000E66DE" w:rsidP="000E66DE">
      <w:r>
        <w:t>References: 6</w:t>
      </w:r>
    </w:p>
    <w:p w14:paraId="5F06A967" w14:textId="77777777" w:rsidR="000E66DE" w:rsidRDefault="000E66DE" w:rsidP="000E66DE">
      <w:r>
        <w:t>Tables: 1</w:t>
      </w:r>
    </w:p>
    <w:p w14:paraId="1D9DBC0C" w14:textId="77777777" w:rsidR="000E66DE" w:rsidRDefault="000E66DE" w:rsidP="000E66DE">
      <w:r>
        <w:rPr>
          <w:b/>
        </w:rPr>
        <w:t>Conflicts of interest:</w:t>
      </w:r>
      <w:r w:rsidRPr="00452705">
        <w:t xml:space="preserve"> The a</w:t>
      </w:r>
      <w:r>
        <w:t>uthors have no conflicts of interest.</w:t>
      </w:r>
    </w:p>
    <w:p w14:paraId="10233494" w14:textId="77777777" w:rsidR="000E66DE" w:rsidRDefault="000E66DE">
      <w:r>
        <w:br w:type="page"/>
      </w:r>
    </w:p>
    <w:p w14:paraId="64DE27AC" w14:textId="4743D3DA" w:rsidR="0038553F" w:rsidRPr="0038553F" w:rsidRDefault="002654E2">
      <w:r>
        <w:lastRenderedPageBreak/>
        <w:t>To the</w:t>
      </w:r>
      <w:r w:rsidRPr="0038553F">
        <w:t xml:space="preserve"> </w:t>
      </w:r>
      <w:r w:rsidR="0038553F" w:rsidRPr="0038553F">
        <w:t>Editor,</w:t>
      </w:r>
    </w:p>
    <w:p w14:paraId="39A4DD4F" w14:textId="7412463B" w:rsidR="004F0A7F" w:rsidRDefault="0038553F">
      <w:r w:rsidRPr="0038553F">
        <w:t>In the paper “</w:t>
      </w:r>
      <w:r w:rsidR="003763A8">
        <w:t>Antihypertensive Medication Regimen Intensity and Incident Dementia in an Older Population</w:t>
      </w:r>
      <w:r w:rsidRPr="0038553F">
        <w:t xml:space="preserve">” by </w:t>
      </w:r>
      <w:r w:rsidR="003763A8">
        <w:t>Tan</w:t>
      </w:r>
      <w:r>
        <w:t xml:space="preserve"> et al., the authors </w:t>
      </w:r>
      <w:r w:rsidR="008E3F66">
        <w:t xml:space="preserve">reported </w:t>
      </w:r>
      <w:r>
        <w:t>that</w:t>
      </w:r>
      <w:r w:rsidR="00374341">
        <w:t>,</w:t>
      </w:r>
      <w:r>
        <w:t xml:space="preserve"> in a</w:t>
      </w:r>
      <w:r w:rsidR="00234EBC">
        <w:t xml:space="preserve"> prospective </w:t>
      </w:r>
      <w:r>
        <w:t xml:space="preserve">observational </w:t>
      </w:r>
      <w:r w:rsidR="003763A8">
        <w:t xml:space="preserve">population-based </w:t>
      </w:r>
      <w:r>
        <w:t xml:space="preserve">cohort of 1208 </w:t>
      </w:r>
      <w:r w:rsidR="008E3F66">
        <w:t xml:space="preserve">older persons </w:t>
      </w:r>
      <w:r w:rsidR="00D83AF1">
        <w:t>(mean age: 84.1 ±5.6)</w:t>
      </w:r>
      <w:r w:rsidR="003763A8">
        <w:t xml:space="preserve">, </w:t>
      </w:r>
      <w:r w:rsidR="004A40CF">
        <w:t xml:space="preserve">use of </w:t>
      </w:r>
      <w:r w:rsidR="003763A8">
        <w:t xml:space="preserve">a higher number of antihypertensive </w:t>
      </w:r>
      <w:r w:rsidR="00D83AF1">
        <w:t xml:space="preserve">drug (AHD) </w:t>
      </w:r>
      <w:r w:rsidR="003763A8">
        <w:t>classes</w:t>
      </w:r>
      <w:r w:rsidR="004A40CF">
        <w:t xml:space="preserve"> </w:t>
      </w:r>
      <w:r w:rsidR="003763A8">
        <w:t xml:space="preserve">was associated with a </w:t>
      </w:r>
      <w:r w:rsidR="004A40CF">
        <w:t xml:space="preserve">lower </w:t>
      </w:r>
      <w:r w:rsidR="008B4B2B">
        <w:t>dementia risk</w:t>
      </w:r>
      <w:r w:rsidR="003763A8">
        <w:t xml:space="preserve"> </w:t>
      </w:r>
      <w:r w:rsidR="00D83AF1">
        <w:t>during</w:t>
      </w:r>
      <w:r w:rsidR="003763A8">
        <w:t xml:space="preserve"> 6 years of follow-up</w:t>
      </w:r>
      <w:r>
        <w:t>.</w:t>
      </w:r>
      <w:r w:rsidR="001D0984">
        <w:fldChar w:fldCharType="begin" w:fldLock="1"/>
      </w:r>
      <w:r w:rsidR="001D0984">
        <w:instrText>ADDIN CSL_CITATION {"citationItems":[{"id":"ITEM-1","itemData":{"DOI":"https://doi.org/10.1016/j.jamda.2017.11.017","ISSN":"1525-8610","abstract":"Objective To investigate the association between antihypertensive medication regimen intensity and risk of incident dementia in an older population. Design Prospective, longitudinal cohort study. Participants/Setting A total of 1208 participants aged ≥78 years, free of dementia, and residing in central Stockholm at baseline (2001–2004). Measurements Participants were examined at 3- and 6-year follow-up to detect incident dementia. Data were collected through face-to-face interviews, clinical examinations, and laboratory tests. Data on antihypertensive use were obtained by a physician through patient self-report, visual inspection, or medical records. Cox proportional hazards models were used to compute hazard ratios (HRs) and 95% confidence intervals (CIs) for the association between time-varying antihypertensive regimen intensity and incident dementia after adjusting for potential confounders. Results During the follow-up period, 125 participants were diagnosed with dementia. Participants who developed dementia were more likely to have vascular disease at baseline (66.4% vs 55.3%, P = .02). In fully adjusted analyses, the number of antihypertensive classes (HR 0.68, 95% CI 0.55–0.84) and total prescribed daily dose (HR 0.70, 95% CI 0.57–0.86) were significantly associated with reduced dementia risk. After considering all-cause mortality as a competing risk, the number (HR 0.75, 95% CI 0.62–0.91) and doses (HR 0.71, 95% CI 0.59–0.86) of antihypertensive classes, and the independent use of diuretics (HR 0.66, 95% CI 0.44–0.99), were significantly associated with lower dementia risk. Conclusions Greater intensity of antihypertensive drug use among older people may be associated with reduced incidence of dementia.","author":[{"dropping-particle":"","family":"Tan","given":"Edwin C K","non-dropping-particle":"","parse-names":false,"suffix":""},{"dropping-particle":"","family":"Qiu","given":"Chengxuan","non-dropping-particle":"","parse-names":false,"suffix":""},{"dropping-particle":"","family":"Liang","given":"Yajun","non-dropping-particle":"","parse-names":false,"suffix":""},{"dropping-particle":"","family":"Wang","given":"Rui","non-dropping-particle":"","parse-names":false,"suffix":""},{"dropping-particle":"","family":"Bell","given":"J Simon","non-dropping-particle":"","parse-names":false,"suffix":""},{"dropping-particle":"","family":"Fastbom","given":"Johan","non-dropping-particle":"","parse-names":false,"suffix":""},{"dropping-particle":"","family":"Fratiglioni","given":"Laura","non-dropping-particle":"","parse-names":false,"suffix":""},{"dropping-particle":"","family":"Johnell","given":"Kristina","non-dropping-particle":"","parse-names":false,"suffix":""}],"container-title":"Journal of the American Medical Directors Association","id":"ITEM-1","issued":{"date-parts":[["2018"]]},"title":"Antihypertensive Medication Regimen Intensity and Incident Dementia in an Older Population","type":"article-journal"},"uris":["http://www.mendeley.com/documents/?uuid=1e4adc01-797b-4547-91ba-936ebf19b0ae"]}],"mendeley":{"formattedCitation":"&lt;sup&gt;1&lt;/sup&gt;","plainTextFormattedCitation":"1","previouslyFormattedCitation":"&lt;sup&gt;1&lt;/sup&gt;"},"properties":{"noteIndex":0},"schema":"https://github.com/citation-style-language/schema/raw/master/csl-citation.json"}</w:instrText>
      </w:r>
      <w:r w:rsidR="001D0984">
        <w:fldChar w:fldCharType="separate"/>
      </w:r>
      <w:r w:rsidR="001D0984" w:rsidRPr="001D0984">
        <w:rPr>
          <w:noProof/>
          <w:vertAlign w:val="superscript"/>
        </w:rPr>
        <w:t>1</w:t>
      </w:r>
      <w:r w:rsidR="001D0984">
        <w:fldChar w:fldCharType="end"/>
      </w:r>
      <w:r>
        <w:t xml:space="preserve"> </w:t>
      </w:r>
      <w:r w:rsidR="00D8313E">
        <w:t xml:space="preserve">Cox </w:t>
      </w:r>
      <w:r w:rsidR="004F0A7F">
        <w:t>regression</w:t>
      </w:r>
      <w:r w:rsidR="00D8313E">
        <w:t xml:space="preserve"> </w:t>
      </w:r>
      <w:r w:rsidR="004F0A7F">
        <w:t>was</w:t>
      </w:r>
      <w:r w:rsidR="00D8313E">
        <w:t xml:space="preserve"> used to estimate hazard ratios (HR) and competing risk of death was adjusted for using the </w:t>
      </w:r>
      <w:proofErr w:type="spellStart"/>
      <w:r w:rsidR="00D8313E">
        <w:t>subdistribution</w:t>
      </w:r>
      <w:proofErr w:type="spellEnd"/>
      <w:r w:rsidR="00D8313E">
        <w:t xml:space="preserve"> </w:t>
      </w:r>
      <w:r w:rsidR="00E162E6">
        <w:t>hazard</w:t>
      </w:r>
      <w:r w:rsidR="00D8313E">
        <w:t xml:space="preserve"> method of Fine and Gray.</w:t>
      </w:r>
      <w:r w:rsidR="001D0984">
        <w:fldChar w:fldCharType="begin" w:fldLock="1"/>
      </w:r>
      <w:r w:rsidR="001D0984">
        <w:instrText>ADDIN CSL_CITATION {"citationItems":[{"id":"ITEM-1","itemData":{"DOI":"10.1080/01621459.1999.10474144","ISBN":"01621459","ISSN":"1537274X","PMID":"2670170","abstract":"With explanatory covariates, the standard analysis for competing risks data involves modeling the cause-specific hazard functions via a proportional hazards assumption. Unfortunately, the cause-specific hazard function does not have a direct interpretation in terms of survival probabilities for the particular failure type. In recent years many clinicians have begun using the cumulative incidence function, the marginal failure probabilities for a particular cause, which is intuitively appealing and more easily explained to the nonstatistician. The cumulative incidence is especially relevant in cost-effectiveness analyses in which the survival probabilities are needed to determine treatment utility. Previously, authors have considered methods for combining estimates of the cause-specific hazard functions under the proportional hazards formulation. However, these methods do not allow the analyst to directly assess the effect of a covariate on the marginal probability function. In this article we propose a novel semiparametric proportional hazards model for the subdistribution. Using the partial likelihood principle and weighting techniques, we derive estimation and inference procedures for the finite-dimensional regression parameter under a variety of censoring scenarios. We give a uniformly consistent estimator for the predicted cumulative incidence for an individual with certain covariates; confidence intervals and bands can be obtained analytically or with an easy-to-implement simulation technique. To contrast the two approaches, we analyze a dataset from a breast cancer clinical trial under both models.","author":[{"dropping-particle":"","family":"Fine","given":"Jason P.","non-dropping-particle":"","parse-names":false,"suffix":""},{"dropping-particle":"","family":"Gray","given":"Robert J.","non-dropping-particle":"","parse-names":false,"suffix":""}],"container-title":"Journal of the American Statistical Association","id":"ITEM-1","issued":{"date-parts":[["1999"]]},"title":"A Proportional Hazards Model for the Subdistribution of a Competing Risk","type":"article-journal"},"uris":["http://www.mendeley.com/documents/?uuid=4d3cd400-e5c4-436e-a874-d4d78c51d68b"]}],"mendeley":{"formattedCitation":"&lt;sup&gt;2&lt;/sup&gt;","plainTextFormattedCitation":"2","previouslyFormattedCitation":"&lt;sup&gt;2&lt;/sup&gt;"},"properties":{"noteIndex":0},"schema":"https://github.com/citation-style-language/schema/raw/master/csl-citation.json"}</w:instrText>
      </w:r>
      <w:r w:rsidR="001D0984">
        <w:fldChar w:fldCharType="separate"/>
      </w:r>
      <w:r w:rsidR="001D0984" w:rsidRPr="001D0984">
        <w:rPr>
          <w:noProof/>
          <w:vertAlign w:val="superscript"/>
        </w:rPr>
        <w:t>2</w:t>
      </w:r>
      <w:r w:rsidR="001D0984">
        <w:fldChar w:fldCharType="end"/>
      </w:r>
      <w:r w:rsidR="00D8313E">
        <w:t xml:space="preserve"> </w:t>
      </w:r>
      <w:r w:rsidR="003763A8">
        <w:t>T</w:t>
      </w:r>
      <w:r w:rsidR="002D6670">
        <w:t>he authors conclude</w:t>
      </w:r>
      <w:r w:rsidR="003763A8">
        <w:t>d</w:t>
      </w:r>
      <w:r w:rsidR="002D6670">
        <w:t xml:space="preserve"> that </w:t>
      </w:r>
      <w:r w:rsidR="009D36AD">
        <w:t>use of multiple</w:t>
      </w:r>
      <w:r w:rsidR="00D83AF1">
        <w:t xml:space="preserve"> AHD</w:t>
      </w:r>
      <w:r w:rsidR="003763A8">
        <w:t xml:space="preserve"> </w:t>
      </w:r>
      <w:r w:rsidR="00D83AF1">
        <w:t>class</w:t>
      </w:r>
      <w:r w:rsidR="009D36AD">
        <w:t>es</w:t>
      </w:r>
      <w:r w:rsidR="00D83AF1">
        <w:t xml:space="preserve"> </w:t>
      </w:r>
      <w:r w:rsidR="003763A8">
        <w:t xml:space="preserve">may </w:t>
      </w:r>
      <w:r w:rsidR="009D36AD">
        <w:t>convey a</w:t>
      </w:r>
      <w:r w:rsidR="003763A8">
        <w:t xml:space="preserve"> reduced </w:t>
      </w:r>
      <w:r w:rsidR="004F0A7F">
        <w:t>dementia risk</w:t>
      </w:r>
      <w:r w:rsidR="003763A8">
        <w:t xml:space="preserve">. </w:t>
      </w:r>
      <w:r w:rsidR="00C97469">
        <w:t>This</w:t>
      </w:r>
      <w:r w:rsidR="00874995">
        <w:t xml:space="preserve"> novel finding </w:t>
      </w:r>
      <w:r w:rsidR="00C97469">
        <w:t xml:space="preserve">could have important clinical implications, </w:t>
      </w:r>
      <w:r w:rsidR="004A40CF">
        <w:t>making</w:t>
      </w:r>
      <w:r w:rsidR="00C97469">
        <w:t xml:space="preserve"> replication</w:t>
      </w:r>
      <w:r w:rsidR="004A40CF">
        <w:t xml:space="preserve"> </w:t>
      </w:r>
      <w:r w:rsidR="00EB7A2E">
        <w:t>imperative</w:t>
      </w:r>
      <w:r w:rsidR="008E3F66">
        <w:t>.</w:t>
      </w:r>
      <w:r w:rsidR="002D6670">
        <w:t xml:space="preserve"> </w:t>
      </w:r>
    </w:p>
    <w:p w14:paraId="04CAE1CA" w14:textId="08357056" w:rsidR="004F0A7F" w:rsidRDefault="00F2139A">
      <w:r>
        <w:t>We p</w:t>
      </w:r>
      <w:r w:rsidR="00BE1B45">
        <w:t xml:space="preserve">reviously </w:t>
      </w:r>
      <w:r>
        <w:t>investigated</w:t>
      </w:r>
      <w:r w:rsidR="00BE1B45">
        <w:t xml:space="preserve"> the association between </w:t>
      </w:r>
      <w:r>
        <w:t>AHD</w:t>
      </w:r>
      <w:r w:rsidR="00BE1B45">
        <w:t xml:space="preserve"> classes and dementia within the preDIVA cohort</w:t>
      </w:r>
      <w:r w:rsidR="003763A8">
        <w:t>.</w:t>
      </w:r>
      <w:r w:rsidR="001D0984">
        <w:fldChar w:fldCharType="begin" w:fldLock="1"/>
      </w:r>
      <w:r w:rsidR="00C703C7">
        <w:instrText>ADDIN CSL_CITATION {"citationItems":[{"id":"ITEM-1","itemData":{"DOI":"10.1097/HJH.0000000000001411","ISSN":"14735598","abstract":"Copyright © 2017 Wolters Kluwer Health, Inc. Objective: Use of antihypertensive medication (AHM) is potentially associated with a reduced risk of dementia. Both calcium channel blockers (CCBs) and angiotensin receptor blockers (ARBs) are suggested to have a more pronounced protective effect. We aimed to study the association between different classes of AHM and dementia in older people. Methods: A subgroup of community-dwelling older people using AHM included in the 'Prevention of Dementia by Intensive Vascular Care' randomized controlled trial was studied. Incident dementia rates in participants with different AHM classes (mono and combination therapy) were compared with dementia rates in participants with any other AHM. Results: At baseline, 1951 participants (55.3%) used AHM [mean age, 74.4 year (SD 2.5); mean SBP, 156.4 mmHg (SD 21.5)]. In total, 986 participants (50.5%) used β-blockers, 798 diuretics (40.9%), 623 angiotensin-converting enzyme inhibitors (31.9%), 522 CCBs (26.8%), and 402 ARBs (20.6%). After 6.7 years (interquartile range 6.0-7.3) of  follow-up, 136 participants (7.0%) developed dementia. Both use of CCBs [hazard ratio 0.56, 95% confidence interval (95% CI) 0.36-0.87]  and ARBs (hazard ratio 0.60, 95% CI 0.37-0.98) were independently associated with a decreased risk of dementia. The association of CCBs with dementia was most apparent in participants without a history of cardiovascular disease (hazard ratio 0.38, 95% CI 0.18-0.81) and with uncontrolled hypertension (hazard ratio 0.26, 95% CI 0.11-0.61). SBP was not significantly lower in participants using CCBs or ARBs. Conclusion: Both use of CCBs and ARBs are independently associated with a decreased risk of dementia in older people.","author":[{"dropping-particle":"","family":"Middelaar","given":"T.","non-dropping-particle":"Van","parse-names":false,"suffix":""},{"dropping-particle":"","family":"Vught","given":"L.A.","non-dropping-particle":"Van","parse-names":false,"suffix":""},{"dropping-particle":"","family":"Charante","given":"E.P.M.","non-dropping-particle":"Van","parse-names":false,"suffix":""},{"dropping-particle":"","family":"Eurelings","given":"L.S.M.","non-dropping-particle":"","parse-names":false,"suffix":""},{"dropping-particle":"","family":"Ligthart","given":"S.A.","non-dropping-particle":"","parse-names":false,"suffix":""},{"dropping-particle":"","family":"Dalen","given":"J.W.","non-dropping-particle":"Van","parse-names":false,"suffix":""},{"dropping-particle":"","family":"Born","given":"B.J.H.","non-dropping-particle":"Van Den","parse-names":false,"suffix":""},{"dropping-particle":"","family":"Richard","given":"E.","non-dropping-particle":"","parse-names":false,"suffix":""},{"dropping-particle":"","family":"Gool","given":"W.A.","non-dropping-particle":"Van","parse-names":false,"suffix":""}],"container-title":"Journal of Hypertension","id":"ITEM-1","issue":"10","issued":{"date-parts":[["2017"]]},"title":"Lower dementia risk with different classes of antihypertensive medication in older patients","type":"article-journal","volume":"35"},"uris":["http://www.mendeley.com/documents/?uuid=3e5432a6-36d5-38ed-a2ba-af062e7aa971"]}],"mendeley":{"formattedCitation":"&lt;sup&gt;3&lt;/sup&gt;","plainTextFormattedCitation":"3","previouslyFormattedCitation":"&lt;sup&gt;3&lt;/sup&gt;"},"properties":{"noteIndex":0},"schema":"https://github.com/citation-style-language/schema/raw/master/csl-citation.json"}</w:instrText>
      </w:r>
      <w:r w:rsidR="001D0984">
        <w:fldChar w:fldCharType="separate"/>
      </w:r>
      <w:r w:rsidR="001D0984" w:rsidRPr="001D0984">
        <w:rPr>
          <w:noProof/>
          <w:vertAlign w:val="superscript"/>
        </w:rPr>
        <w:t>3</w:t>
      </w:r>
      <w:r w:rsidR="001D0984">
        <w:fldChar w:fldCharType="end"/>
      </w:r>
      <w:r w:rsidR="00BE1B45">
        <w:t xml:space="preserve"> </w:t>
      </w:r>
      <w:r w:rsidR="00874995">
        <w:t>T</w:t>
      </w:r>
      <w:r w:rsidR="00BE1B45">
        <w:t xml:space="preserve">he preDIVA trial evaluated the effect of </w:t>
      </w:r>
      <w:r>
        <w:t>nurse-led</w:t>
      </w:r>
      <w:r w:rsidR="00BE1B45">
        <w:t xml:space="preserve"> cardiovascular risk management on incident dementia in </w:t>
      </w:r>
      <w:r>
        <w:t>community-dwelling older people</w:t>
      </w:r>
      <w:r w:rsidR="00BE1B45">
        <w:t xml:space="preserve"> </w:t>
      </w:r>
      <w:r w:rsidR="00A26D50">
        <w:t>during</w:t>
      </w:r>
      <w:r w:rsidR="00BE1B45">
        <w:t xml:space="preserve"> 6-8 years. </w:t>
      </w:r>
      <w:r w:rsidR="00C97469">
        <w:t>Baseline m</w:t>
      </w:r>
      <w:r w:rsidR="0089477A">
        <w:t xml:space="preserve">edication </w:t>
      </w:r>
      <w:r w:rsidR="00C97469">
        <w:t xml:space="preserve">use </w:t>
      </w:r>
      <w:r w:rsidR="0089477A">
        <w:t xml:space="preserve">was </w:t>
      </w:r>
      <w:r>
        <w:t>based on participant interview</w:t>
      </w:r>
      <w:r w:rsidR="00374341">
        <w:t>s</w:t>
      </w:r>
      <w:r w:rsidR="0089477A">
        <w:t xml:space="preserve"> cross-referenced with GP electronic health records. </w:t>
      </w:r>
      <w:r w:rsidR="00D8313E">
        <w:t>Incident d</w:t>
      </w:r>
      <w:r>
        <w:t xml:space="preserve">ementia </w:t>
      </w:r>
      <w:r w:rsidR="00D8313E">
        <w:t>was</w:t>
      </w:r>
      <w:r w:rsidR="00BE1B45">
        <w:t xml:space="preserve"> established by an expert panel based on DSM-IV</w:t>
      </w:r>
      <w:r w:rsidR="00D8313E">
        <w:t xml:space="preserve"> criteria</w:t>
      </w:r>
      <w:r w:rsidR="0089477A">
        <w:t xml:space="preserve">. Dementia </w:t>
      </w:r>
      <w:r>
        <w:t xml:space="preserve">outcome </w:t>
      </w:r>
      <w:r w:rsidR="0089477A">
        <w:t xml:space="preserve">was available for 98.0% and mortality for 99.8% </w:t>
      </w:r>
      <w:r w:rsidR="00D8313E">
        <w:t>at final follow-up</w:t>
      </w:r>
      <w:r w:rsidR="0089477A">
        <w:t xml:space="preserve">. </w:t>
      </w:r>
      <w:r w:rsidR="009D36AD">
        <w:t>For</w:t>
      </w:r>
      <w:r w:rsidR="0089477A">
        <w:t xml:space="preserve"> the following analyses, we </w:t>
      </w:r>
      <w:r w:rsidR="005035AC">
        <w:t>approximated</w:t>
      </w:r>
      <w:r w:rsidR="0089477A">
        <w:t xml:space="preserve"> </w:t>
      </w:r>
      <w:r w:rsidR="001D0984">
        <w:t>the methods</w:t>
      </w:r>
      <w:r w:rsidR="00BE1B45">
        <w:t xml:space="preserve"> </w:t>
      </w:r>
      <w:r w:rsidR="001D0984">
        <w:t xml:space="preserve">used by Tan et al. </w:t>
      </w:r>
      <w:r w:rsidR="0089477A">
        <w:t>using</w:t>
      </w:r>
      <w:r w:rsidR="00BE1B45">
        <w:t xml:space="preserve"> baseline </w:t>
      </w:r>
      <w:r w:rsidR="00C0715D">
        <w:t>preDIVA data.</w:t>
      </w:r>
    </w:p>
    <w:p w14:paraId="0F1C400E" w14:textId="2E827C5B" w:rsidR="00172A91" w:rsidRPr="00172A91" w:rsidRDefault="009D36AD" w:rsidP="00172A91">
      <w:pPr>
        <w:rPr>
          <w:rFonts w:ascii="Times New Roman" w:hAnsi="Times New Roman" w:cs="Times New Roman"/>
          <w:sz w:val="24"/>
          <w:szCs w:val="24"/>
          <w:lang w:eastAsia="nl-NL"/>
        </w:rPr>
      </w:pPr>
      <w:r>
        <w:t>In</w:t>
      </w:r>
      <w:r w:rsidR="00FC21F3">
        <w:t xml:space="preserve"> </w:t>
      </w:r>
      <w:r w:rsidR="007E2F67">
        <w:t>32</w:t>
      </w:r>
      <w:r w:rsidR="00CF3DD9">
        <w:t>78</w:t>
      </w:r>
      <w:r w:rsidR="007E2F67">
        <w:t xml:space="preserve"> participants (mean age: 74.4 ±2.5)</w:t>
      </w:r>
      <w:r w:rsidR="008B4B2B">
        <w:t>,</w:t>
      </w:r>
      <w:r w:rsidR="007E2F67">
        <w:t xml:space="preserve"> over 6.3</w:t>
      </w:r>
      <w:r w:rsidR="00280F44">
        <w:t xml:space="preserve"> (±1.5)</w:t>
      </w:r>
      <w:r w:rsidR="007E2F67">
        <w:t xml:space="preserve"> years</w:t>
      </w:r>
      <w:r w:rsidR="00C0715D">
        <w:t xml:space="preserve"> of follow-up</w:t>
      </w:r>
      <w:r w:rsidR="007E2F67">
        <w:t xml:space="preserve"> (20</w:t>
      </w:r>
      <w:r w:rsidR="00C237A7">
        <w:t>,</w:t>
      </w:r>
      <w:r w:rsidR="007E2F67">
        <w:t>648 person years)</w:t>
      </w:r>
      <w:r>
        <w:t>,</w:t>
      </w:r>
      <w:r w:rsidR="0089477A">
        <w:t xml:space="preserve"> </w:t>
      </w:r>
      <w:r>
        <w:t>t</w:t>
      </w:r>
      <w:r w:rsidR="00552A7C">
        <w:t>here was no relation between</w:t>
      </w:r>
      <w:r w:rsidR="004A40CF">
        <w:t xml:space="preserve"> the</w:t>
      </w:r>
      <w:r w:rsidR="00552A7C">
        <w:t xml:space="preserve"> </w:t>
      </w:r>
      <w:r w:rsidR="00A26D50">
        <w:t>number</w:t>
      </w:r>
      <w:r w:rsidR="00552A7C">
        <w:t xml:space="preserve"> of AHD classes </w:t>
      </w:r>
      <w:r w:rsidR="00C237A7">
        <w:t xml:space="preserve">used </w:t>
      </w:r>
      <w:r w:rsidR="00552A7C">
        <w:t xml:space="preserve">and </w:t>
      </w:r>
      <w:r>
        <w:t>dementia risk</w:t>
      </w:r>
      <w:r w:rsidR="00D02771">
        <w:t xml:space="preserve"> (Table 1)</w:t>
      </w:r>
      <w:r w:rsidR="00C237A7">
        <w:t>, although</w:t>
      </w:r>
      <w:r w:rsidR="00CF3DD9">
        <w:t xml:space="preserve"> </w:t>
      </w:r>
      <w:r w:rsidR="00C237A7">
        <w:t>p</w:t>
      </w:r>
      <w:r w:rsidR="00552A7C">
        <w:t xml:space="preserve">articipants using </w:t>
      </w:r>
      <w:r w:rsidR="00552A7C">
        <w:rPr>
          <w:rFonts w:ascii="Calibri" w:eastAsia="Times New Roman" w:hAnsi="Calibri" w:cs="Times New Roman"/>
          <w:color w:val="000000"/>
          <w:lang w:eastAsia="nl-NL"/>
        </w:rPr>
        <w:t xml:space="preserve">≥2 classes </w:t>
      </w:r>
      <w:r w:rsidR="00C237A7">
        <w:rPr>
          <w:rFonts w:ascii="Calibri" w:eastAsia="Times New Roman" w:hAnsi="Calibri" w:cs="Times New Roman"/>
          <w:color w:val="000000"/>
          <w:lang w:eastAsia="nl-NL"/>
        </w:rPr>
        <w:t>had</w:t>
      </w:r>
      <w:r w:rsidR="00552A7C">
        <w:rPr>
          <w:rFonts w:ascii="Calibri" w:eastAsia="Times New Roman" w:hAnsi="Calibri" w:cs="Times New Roman"/>
          <w:color w:val="000000"/>
          <w:lang w:eastAsia="nl-NL"/>
        </w:rPr>
        <w:t xml:space="preserve"> a markedly lower HR </w:t>
      </w:r>
      <w:r w:rsidR="004A40CF">
        <w:rPr>
          <w:rFonts w:ascii="Calibri" w:eastAsia="Times New Roman" w:hAnsi="Calibri" w:cs="Times New Roman"/>
          <w:color w:val="000000"/>
          <w:lang w:eastAsia="nl-NL"/>
        </w:rPr>
        <w:t>compared to</w:t>
      </w:r>
      <w:r w:rsidR="00552A7C">
        <w:rPr>
          <w:rFonts w:ascii="Calibri" w:eastAsia="Times New Roman" w:hAnsi="Calibri" w:cs="Times New Roman"/>
          <w:color w:val="000000"/>
          <w:lang w:eastAsia="nl-NL"/>
        </w:rPr>
        <w:t xml:space="preserve"> those using </w:t>
      </w:r>
      <w:r w:rsidR="008A27DC">
        <w:rPr>
          <w:rFonts w:ascii="Calibri" w:eastAsia="Times New Roman" w:hAnsi="Calibri" w:cs="Times New Roman"/>
          <w:color w:val="000000"/>
          <w:lang w:eastAsia="nl-NL"/>
        </w:rPr>
        <w:t>one</w:t>
      </w:r>
      <w:r w:rsidR="00552A7C">
        <w:rPr>
          <w:rFonts w:ascii="Calibri" w:eastAsia="Times New Roman" w:hAnsi="Calibri" w:cs="Times New Roman"/>
          <w:color w:val="000000"/>
          <w:lang w:eastAsia="nl-NL"/>
        </w:rPr>
        <w:t xml:space="preserve">. HRs </w:t>
      </w:r>
      <w:r w:rsidR="00C0715D">
        <w:rPr>
          <w:rFonts w:ascii="Calibri" w:eastAsia="Times New Roman" w:hAnsi="Calibri" w:cs="Times New Roman"/>
          <w:color w:val="000000"/>
          <w:lang w:eastAsia="nl-NL"/>
        </w:rPr>
        <w:t>for</w:t>
      </w:r>
      <w:r w:rsidR="00552A7C">
        <w:rPr>
          <w:rFonts w:ascii="Calibri" w:eastAsia="Times New Roman" w:hAnsi="Calibri" w:cs="Times New Roman"/>
          <w:color w:val="000000"/>
          <w:lang w:eastAsia="nl-NL"/>
        </w:rPr>
        <w:t xml:space="preserve"> CCBs and ARBs </w:t>
      </w:r>
      <w:r w:rsidR="00C0715D">
        <w:rPr>
          <w:rFonts w:ascii="Calibri" w:eastAsia="Times New Roman" w:hAnsi="Calibri" w:cs="Times New Roman"/>
          <w:color w:val="000000"/>
          <w:lang w:eastAsia="nl-NL"/>
        </w:rPr>
        <w:t xml:space="preserve">were </w:t>
      </w:r>
      <w:r w:rsidR="00CF3DD9">
        <w:rPr>
          <w:rFonts w:ascii="Calibri" w:eastAsia="Times New Roman" w:hAnsi="Calibri" w:cs="Times New Roman"/>
          <w:color w:val="000000"/>
          <w:lang w:eastAsia="nl-NL"/>
        </w:rPr>
        <w:t>comparable to</w:t>
      </w:r>
      <w:r w:rsidR="00A26D50">
        <w:rPr>
          <w:rFonts w:ascii="Calibri" w:eastAsia="Times New Roman" w:hAnsi="Calibri" w:cs="Times New Roman"/>
          <w:color w:val="000000"/>
          <w:lang w:eastAsia="nl-NL"/>
        </w:rPr>
        <w:t xml:space="preserve"> those reported by</w:t>
      </w:r>
      <w:r w:rsidR="00CF3DD9">
        <w:rPr>
          <w:rFonts w:ascii="Calibri" w:eastAsia="Times New Roman" w:hAnsi="Calibri" w:cs="Times New Roman"/>
          <w:color w:val="000000"/>
          <w:lang w:eastAsia="nl-NL"/>
        </w:rPr>
        <w:t xml:space="preserve"> </w:t>
      </w:r>
      <w:r w:rsidR="00552A7C">
        <w:rPr>
          <w:rFonts w:ascii="Calibri" w:eastAsia="Times New Roman" w:hAnsi="Calibri" w:cs="Times New Roman"/>
          <w:color w:val="000000"/>
          <w:lang w:eastAsia="nl-NL"/>
        </w:rPr>
        <w:t xml:space="preserve">Tan et al. but </w:t>
      </w:r>
      <w:r w:rsidR="008B4B2B">
        <w:rPr>
          <w:rFonts w:ascii="Calibri" w:eastAsia="Times New Roman" w:hAnsi="Calibri" w:cs="Times New Roman"/>
          <w:color w:val="000000"/>
          <w:lang w:eastAsia="nl-NL"/>
        </w:rPr>
        <w:t>substantially</w:t>
      </w:r>
      <w:r w:rsidR="00552A7C">
        <w:rPr>
          <w:rFonts w:ascii="Calibri" w:eastAsia="Times New Roman" w:hAnsi="Calibri" w:cs="Times New Roman"/>
          <w:color w:val="000000"/>
          <w:lang w:eastAsia="nl-NL"/>
        </w:rPr>
        <w:t xml:space="preserve"> </w:t>
      </w:r>
      <w:r w:rsidR="00C0715D">
        <w:rPr>
          <w:rFonts w:ascii="Calibri" w:eastAsia="Times New Roman" w:hAnsi="Calibri" w:cs="Times New Roman"/>
          <w:color w:val="000000"/>
          <w:lang w:eastAsia="nl-NL"/>
        </w:rPr>
        <w:t xml:space="preserve">higher </w:t>
      </w:r>
      <w:r w:rsidR="00552A7C">
        <w:rPr>
          <w:rFonts w:ascii="Calibri" w:eastAsia="Times New Roman" w:hAnsi="Calibri" w:cs="Times New Roman"/>
          <w:color w:val="000000"/>
          <w:lang w:eastAsia="nl-NL"/>
        </w:rPr>
        <w:t xml:space="preserve">for diuretics, beta-blockers and ACE inhibitors. </w:t>
      </w:r>
      <w:r w:rsidR="00C0715D">
        <w:rPr>
          <w:rFonts w:ascii="Calibri" w:eastAsia="Times New Roman" w:hAnsi="Calibri" w:cs="Times New Roman"/>
          <w:color w:val="000000"/>
          <w:lang w:eastAsia="nl-NL"/>
        </w:rPr>
        <w:t>Similar to Tan et al., r</w:t>
      </w:r>
      <w:r w:rsidR="00552A7C">
        <w:rPr>
          <w:rFonts w:ascii="Calibri" w:eastAsia="Times New Roman" w:hAnsi="Calibri" w:cs="Times New Roman"/>
          <w:color w:val="000000"/>
          <w:lang w:eastAsia="nl-NL"/>
        </w:rPr>
        <w:t xml:space="preserve">esults were unaffected by adjustment for </w:t>
      </w:r>
      <w:r w:rsidR="003B116A">
        <w:rPr>
          <w:rFonts w:ascii="Calibri" w:eastAsia="Times New Roman" w:hAnsi="Calibri" w:cs="Times New Roman"/>
          <w:color w:val="000000"/>
          <w:lang w:eastAsia="nl-NL"/>
        </w:rPr>
        <w:t xml:space="preserve">the </w:t>
      </w:r>
      <w:r w:rsidR="00552A7C">
        <w:rPr>
          <w:rFonts w:ascii="Calibri" w:eastAsia="Times New Roman" w:hAnsi="Calibri" w:cs="Times New Roman"/>
          <w:color w:val="000000"/>
          <w:lang w:eastAsia="nl-NL"/>
        </w:rPr>
        <w:t xml:space="preserve">competing risk of death. </w:t>
      </w:r>
      <w:r w:rsidR="002654E2">
        <w:rPr>
          <w:rFonts w:ascii="Calibri" w:eastAsia="Times New Roman" w:hAnsi="Calibri" w:cs="Times New Roman"/>
          <w:color w:val="000000"/>
          <w:lang w:eastAsia="nl-NL"/>
        </w:rPr>
        <w:t>Overall, using more AHD classes was associated with a higher cause-specific risk of mortality and dementia/mortality combined.</w:t>
      </w:r>
      <w:r w:rsidR="00172A91" w:rsidRPr="00172A91">
        <w:rPr>
          <w:rFonts w:ascii="Calibri" w:eastAsia="Times New Roman" w:hAnsi="Calibri" w:cs="Times New Roman"/>
          <w:color w:val="000000"/>
          <w:lang w:eastAsia="nl-NL"/>
        </w:rPr>
        <w:t xml:space="preserve"> </w:t>
      </w:r>
    </w:p>
    <w:p w14:paraId="46323CE3" w14:textId="78FF15D4" w:rsidR="004F0A7F" w:rsidRDefault="00552A7C">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The </w:t>
      </w:r>
      <w:r w:rsidR="00874995">
        <w:rPr>
          <w:rFonts w:ascii="Calibri" w:eastAsia="Times New Roman" w:hAnsi="Calibri" w:cs="Times New Roman"/>
          <w:color w:val="000000"/>
          <w:lang w:eastAsia="nl-NL"/>
        </w:rPr>
        <w:t>difference in</w:t>
      </w:r>
      <w:r w:rsidR="00683F98">
        <w:rPr>
          <w:rFonts w:ascii="Calibri" w:eastAsia="Times New Roman" w:hAnsi="Calibri" w:cs="Times New Roman"/>
          <w:color w:val="000000"/>
          <w:lang w:eastAsia="nl-NL"/>
        </w:rPr>
        <w:t xml:space="preserve"> findings </w:t>
      </w:r>
      <w:r w:rsidR="00874995">
        <w:rPr>
          <w:rFonts w:ascii="Calibri" w:eastAsia="Times New Roman" w:hAnsi="Calibri" w:cs="Times New Roman"/>
          <w:color w:val="000000"/>
          <w:lang w:eastAsia="nl-NL"/>
        </w:rPr>
        <w:t>of</w:t>
      </w:r>
      <w:r w:rsidR="00683F98">
        <w:rPr>
          <w:rFonts w:ascii="Calibri" w:eastAsia="Times New Roman" w:hAnsi="Calibri" w:cs="Times New Roman"/>
          <w:color w:val="000000"/>
          <w:lang w:eastAsia="nl-NL"/>
        </w:rPr>
        <w:t xml:space="preserve"> the present analys</w:t>
      </w:r>
      <w:r w:rsidR="00874995">
        <w:rPr>
          <w:rFonts w:ascii="Calibri" w:eastAsia="Times New Roman" w:hAnsi="Calibri" w:cs="Times New Roman"/>
          <w:color w:val="000000"/>
          <w:lang w:eastAsia="nl-NL"/>
        </w:rPr>
        <w:t>e</w:t>
      </w:r>
      <w:r w:rsidR="00683F98">
        <w:rPr>
          <w:rFonts w:ascii="Calibri" w:eastAsia="Times New Roman" w:hAnsi="Calibri" w:cs="Times New Roman"/>
          <w:color w:val="000000"/>
          <w:lang w:eastAsia="nl-NL"/>
        </w:rPr>
        <w:t xml:space="preserve">s </w:t>
      </w:r>
      <w:r>
        <w:rPr>
          <w:rFonts w:ascii="Calibri" w:eastAsia="Times New Roman" w:hAnsi="Calibri" w:cs="Times New Roman"/>
          <w:color w:val="000000"/>
          <w:lang w:eastAsia="nl-NL"/>
        </w:rPr>
        <w:t xml:space="preserve">and </w:t>
      </w:r>
      <w:r w:rsidR="00683F98">
        <w:rPr>
          <w:rFonts w:ascii="Calibri" w:eastAsia="Times New Roman" w:hAnsi="Calibri" w:cs="Times New Roman"/>
          <w:color w:val="000000"/>
          <w:lang w:eastAsia="nl-NL"/>
        </w:rPr>
        <w:t xml:space="preserve">those by </w:t>
      </w:r>
      <w:r>
        <w:rPr>
          <w:rFonts w:ascii="Calibri" w:eastAsia="Times New Roman" w:hAnsi="Calibri" w:cs="Times New Roman"/>
          <w:color w:val="000000"/>
          <w:lang w:eastAsia="nl-NL"/>
        </w:rPr>
        <w:t xml:space="preserve">Tan et al. may </w:t>
      </w:r>
      <w:r w:rsidR="00CF3DD9">
        <w:rPr>
          <w:rFonts w:ascii="Calibri" w:eastAsia="Times New Roman" w:hAnsi="Calibri" w:cs="Times New Roman"/>
          <w:color w:val="000000"/>
          <w:lang w:eastAsia="nl-NL"/>
        </w:rPr>
        <w:t>originate from</w:t>
      </w:r>
      <w:r>
        <w:rPr>
          <w:rFonts w:ascii="Calibri" w:eastAsia="Times New Roman" w:hAnsi="Calibri" w:cs="Times New Roman"/>
          <w:color w:val="000000"/>
          <w:lang w:eastAsia="nl-NL"/>
        </w:rPr>
        <w:t xml:space="preserve"> </w:t>
      </w:r>
      <w:r w:rsidR="0037715B">
        <w:rPr>
          <w:rFonts w:ascii="Calibri" w:eastAsia="Times New Roman" w:hAnsi="Calibri" w:cs="Times New Roman"/>
          <w:color w:val="000000"/>
          <w:lang w:eastAsia="nl-NL"/>
        </w:rPr>
        <w:t xml:space="preserve">the competing risk of death. </w:t>
      </w:r>
      <w:r w:rsidR="00665F8E">
        <w:rPr>
          <w:rFonts w:ascii="Calibri" w:eastAsia="Times New Roman" w:hAnsi="Calibri" w:cs="Times New Roman"/>
          <w:color w:val="000000"/>
          <w:lang w:eastAsia="nl-NL"/>
        </w:rPr>
        <w:t>T</w:t>
      </w:r>
      <w:r w:rsidR="00683F98">
        <w:rPr>
          <w:rFonts w:ascii="Calibri" w:eastAsia="Times New Roman" w:hAnsi="Calibri" w:cs="Times New Roman"/>
          <w:color w:val="000000"/>
          <w:lang w:eastAsia="nl-NL"/>
        </w:rPr>
        <w:t xml:space="preserve">he </w:t>
      </w:r>
      <w:proofErr w:type="spellStart"/>
      <w:r w:rsidR="00CF3DD9">
        <w:rPr>
          <w:rFonts w:ascii="Calibri" w:eastAsia="Times New Roman" w:hAnsi="Calibri" w:cs="Times New Roman"/>
          <w:color w:val="000000"/>
          <w:lang w:eastAsia="nl-NL"/>
        </w:rPr>
        <w:t>subdistribution</w:t>
      </w:r>
      <w:proofErr w:type="spellEnd"/>
      <w:r w:rsidR="00513BFE">
        <w:rPr>
          <w:rFonts w:ascii="Calibri" w:eastAsia="Times New Roman" w:hAnsi="Calibri" w:cs="Times New Roman"/>
          <w:color w:val="000000"/>
          <w:lang w:eastAsia="nl-NL"/>
        </w:rPr>
        <w:t xml:space="preserve"> </w:t>
      </w:r>
      <w:r w:rsidR="00AC401A">
        <w:rPr>
          <w:rFonts w:ascii="Calibri" w:eastAsia="Times New Roman" w:hAnsi="Calibri" w:cs="Times New Roman"/>
          <w:color w:val="000000"/>
          <w:lang w:eastAsia="nl-NL"/>
        </w:rPr>
        <w:t>hazard</w:t>
      </w:r>
      <w:r w:rsidR="00CF3DD9">
        <w:rPr>
          <w:rFonts w:ascii="Calibri" w:eastAsia="Times New Roman" w:hAnsi="Calibri" w:cs="Times New Roman"/>
          <w:color w:val="000000"/>
          <w:lang w:eastAsia="nl-NL"/>
        </w:rPr>
        <w:t xml:space="preserve"> competing risk model</w:t>
      </w:r>
      <w:r w:rsidR="004D6CD9">
        <w:rPr>
          <w:rFonts w:ascii="Calibri" w:eastAsia="Times New Roman" w:hAnsi="Calibri" w:cs="Times New Roman"/>
          <w:color w:val="000000"/>
          <w:lang w:eastAsia="nl-NL"/>
        </w:rPr>
        <w:t xml:space="preserve"> </w:t>
      </w:r>
      <w:r w:rsidR="00874995">
        <w:rPr>
          <w:rFonts w:ascii="Calibri" w:eastAsia="Times New Roman" w:hAnsi="Calibri" w:cs="Times New Roman"/>
          <w:color w:val="000000"/>
          <w:lang w:eastAsia="nl-NL"/>
        </w:rPr>
        <w:t xml:space="preserve">only </w:t>
      </w:r>
      <w:r w:rsidR="0037715B">
        <w:rPr>
          <w:rFonts w:ascii="Calibri" w:eastAsia="Times New Roman" w:hAnsi="Calibri" w:cs="Times New Roman"/>
          <w:color w:val="000000"/>
          <w:lang w:eastAsia="nl-NL"/>
        </w:rPr>
        <w:t xml:space="preserve">adjusts the HR </w:t>
      </w:r>
      <w:r w:rsidR="0050019A">
        <w:rPr>
          <w:rFonts w:ascii="Calibri" w:eastAsia="Times New Roman" w:hAnsi="Calibri" w:cs="Times New Roman"/>
          <w:color w:val="000000"/>
          <w:lang w:eastAsia="nl-NL"/>
        </w:rPr>
        <w:t>to</w:t>
      </w:r>
      <w:r w:rsidR="0037715B">
        <w:rPr>
          <w:rFonts w:ascii="Calibri" w:eastAsia="Times New Roman" w:hAnsi="Calibri" w:cs="Times New Roman"/>
          <w:color w:val="000000"/>
          <w:lang w:eastAsia="nl-NL"/>
        </w:rPr>
        <w:t xml:space="preserve"> </w:t>
      </w:r>
      <w:r w:rsidR="00874995">
        <w:rPr>
          <w:rFonts w:ascii="Calibri" w:eastAsia="Times New Roman" w:hAnsi="Calibri" w:cs="Times New Roman"/>
          <w:color w:val="000000"/>
          <w:lang w:eastAsia="nl-NL"/>
        </w:rPr>
        <w:t>relate</w:t>
      </w:r>
      <w:r w:rsidR="0037715B">
        <w:rPr>
          <w:rFonts w:ascii="Calibri" w:eastAsia="Times New Roman" w:hAnsi="Calibri" w:cs="Times New Roman"/>
          <w:color w:val="000000"/>
          <w:lang w:eastAsia="nl-NL"/>
        </w:rPr>
        <w:t xml:space="preserve"> to </w:t>
      </w:r>
      <w:r w:rsidR="00AC401A">
        <w:rPr>
          <w:rFonts w:ascii="Calibri" w:eastAsia="Times New Roman" w:hAnsi="Calibri" w:cs="Times New Roman"/>
          <w:color w:val="000000"/>
          <w:lang w:eastAsia="nl-NL"/>
        </w:rPr>
        <w:t xml:space="preserve">cumulative </w:t>
      </w:r>
      <w:r w:rsidR="0037715B">
        <w:rPr>
          <w:rFonts w:ascii="Calibri" w:eastAsia="Times New Roman" w:hAnsi="Calibri" w:cs="Times New Roman"/>
          <w:color w:val="000000"/>
          <w:lang w:eastAsia="nl-NL"/>
        </w:rPr>
        <w:t xml:space="preserve">incidence </w:t>
      </w:r>
      <w:r w:rsidR="00201E9B">
        <w:rPr>
          <w:rFonts w:ascii="Calibri" w:eastAsia="Times New Roman" w:hAnsi="Calibri" w:cs="Times New Roman"/>
          <w:color w:val="000000"/>
          <w:lang w:eastAsia="nl-NL"/>
        </w:rPr>
        <w:t>instead of rate</w:t>
      </w:r>
      <w:r w:rsidR="00513BFE">
        <w:rPr>
          <w:rFonts w:ascii="Calibri" w:eastAsia="Times New Roman" w:hAnsi="Calibri" w:cs="Times New Roman"/>
          <w:color w:val="000000"/>
          <w:lang w:eastAsia="nl-NL"/>
        </w:rPr>
        <w:t>.</w:t>
      </w:r>
      <w:r w:rsidR="00C703C7">
        <w:rPr>
          <w:rFonts w:ascii="Calibri" w:eastAsia="Times New Roman" w:hAnsi="Calibri" w:cs="Times New Roman"/>
          <w:color w:val="000000"/>
          <w:lang w:eastAsia="nl-NL"/>
        </w:rPr>
        <w:fldChar w:fldCharType="begin" w:fldLock="1"/>
      </w:r>
      <w:r w:rsidR="00C703C7">
        <w:rPr>
          <w:rFonts w:ascii="Calibri" w:eastAsia="Times New Roman" w:hAnsi="Calibri" w:cs="Times New Roman"/>
          <w:color w:val="000000"/>
          <w:lang w:eastAsia="nl-NL"/>
        </w:rPr>
        <w:instrText>ADDIN CSL_CITATION {"citationItems":[{"id":"ITEM-1","itemData":{"DOI":"10.1002/sim.7501","ISBN":"0277-6715","ISSN":"10970258","PMID":"28913837","abstract":"In survival analysis, a competing risk is an event whose occurrence precludes the occurrence of the primary event of interest. Outcomes in medical research are frequently subject to competing risks. In survival analysis, there are 2 key questions that can be addressed using competing risk regression models: first, which covariates affect the rate at which events occur, and second, which covariates affect the probability of an event occurring over time. The cause-specific hazard model estimates the effect of covariates on the rate at which events occur in subjects who are currently event-free. Subdistribution hazard ratios obtained from the Fine-Gray model describe the relative effect of covariates on the subdistribution hazard function. Hence, the covariates in this model can also be interpreted as having an effect on the cumulative incidence function or on the probability of events occurring over time. We conducted a review of the use and interpretation of the Fine-Gray subdistribution hazard model in articles published in the medical literature in 2015. We found that many authors provided an unclear or incorrect interpretation of the regression coefficients associated with this model. An incorrect and inconsistent interpretation of regression coefficients may lead to confusion when comparing results across different studies. Furthermore, an incorrect interpretation of estimated regression coefficients can result in an incorrect understanding about the magnitude of the association between exposure and the incidence of the outcome. The objective of this article is to clarify how these regression coefficients should be reported and to propose suggestions for interpreting these coefficients.","author":[{"dropping-particle":"","family":"Austin","given":"Peter C.","non-dropping-particle":"","parse-names":false,"suffix":""},{"dropping-particle":"","family":"Fine","given":"Jason P.","non-dropping-particle":"","parse-names":false,"suffix":""}],"container-title":"Statistics in Medicine","id":"ITEM-1","issued":{"date-parts":[["2017"]]},"title":"Practical recommendations for reporting Fine-Gray model analyses for competing risk data","type":"article-journal"},"uris":["http://www.mendeley.com/documents/?uuid=d53df7de-123d-498a-a2a0-ea7d6f8c2643"]}],"mendeley":{"formattedCitation":"&lt;sup&gt;4&lt;/sup&gt;","plainTextFormattedCitation":"4","previouslyFormattedCitation":"&lt;sup&gt;4&lt;/sup&gt;"},"properties":{"noteIndex":0},"schema":"https://github.com/citation-style-language/schema/raw/master/csl-citation.json"}</w:instrText>
      </w:r>
      <w:r w:rsidR="00C703C7">
        <w:rPr>
          <w:rFonts w:ascii="Calibri" w:eastAsia="Times New Roman" w:hAnsi="Calibri" w:cs="Times New Roman"/>
          <w:color w:val="000000"/>
          <w:lang w:eastAsia="nl-NL"/>
        </w:rPr>
        <w:fldChar w:fldCharType="separate"/>
      </w:r>
      <w:r w:rsidR="00C703C7" w:rsidRPr="00C703C7">
        <w:rPr>
          <w:rFonts w:ascii="Calibri" w:eastAsia="Times New Roman" w:hAnsi="Calibri" w:cs="Times New Roman"/>
          <w:noProof/>
          <w:color w:val="000000"/>
          <w:vertAlign w:val="superscript"/>
          <w:lang w:eastAsia="nl-NL"/>
        </w:rPr>
        <w:t>4</w:t>
      </w:r>
      <w:r w:rsidR="00C703C7">
        <w:rPr>
          <w:rFonts w:ascii="Calibri" w:eastAsia="Times New Roman" w:hAnsi="Calibri" w:cs="Times New Roman"/>
          <w:color w:val="000000"/>
          <w:lang w:eastAsia="nl-NL"/>
        </w:rPr>
        <w:fldChar w:fldCharType="end"/>
      </w:r>
      <w:r w:rsidR="00513BFE">
        <w:rPr>
          <w:rFonts w:ascii="Calibri" w:eastAsia="Times New Roman" w:hAnsi="Calibri" w:cs="Times New Roman"/>
          <w:color w:val="000000"/>
          <w:lang w:eastAsia="nl-NL"/>
        </w:rPr>
        <w:t xml:space="preserve"> </w:t>
      </w:r>
      <w:r w:rsidR="00C0715D">
        <w:rPr>
          <w:rFonts w:ascii="Calibri" w:eastAsia="Times New Roman" w:hAnsi="Calibri" w:cs="Times New Roman"/>
          <w:color w:val="000000"/>
          <w:lang w:eastAsia="nl-NL"/>
        </w:rPr>
        <w:t>For example,</w:t>
      </w:r>
      <w:r w:rsidR="0050019A">
        <w:rPr>
          <w:rFonts w:ascii="Calibri" w:eastAsia="Times New Roman" w:hAnsi="Calibri" w:cs="Times New Roman"/>
          <w:color w:val="000000"/>
          <w:lang w:eastAsia="nl-NL"/>
        </w:rPr>
        <w:t xml:space="preserve"> </w:t>
      </w:r>
      <w:r w:rsidR="008A27DC">
        <w:rPr>
          <w:rFonts w:ascii="Calibri" w:eastAsia="Times New Roman" w:hAnsi="Calibri" w:cs="Times New Roman"/>
          <w:color w:val="000000"/>
          <w:lang w:eastAsia="nl-NL"/>
        </w:rPr>
        <w:t>smoking</w:t>
      </w:r>
      <w:r w:rsidR="00C0715D">
        <w:rPr>
          <w:rFonts w:ascii="Calibri" w:eastAsia="Times New Roman" w:hAnsi="Calibri" w:cs="Times New Roman"/>
          <w:color w:val="000000"/>
          <w:lang w:eastAsia="nl-NL"/>
        </w:rPr>
        <w:t xml:space="preserve"> may increase both</w:t>
      </w:r>
      <w:r w:rsidR="00374341">
        <w:rPr>
          <w:rFonts w:ascii="Calibri" w:eastAsia="Times New Roman" w:hAnsi="Calibri" w:cs="Times New Roman"/>
          <w:color w:val="000000"/>
          <w:lang w:eastAsia="nl-NL"/>
        </w:rPr>
        <w:t xml:space="preserve"> fatal</w:t>
      </w:r>
      <w:r w:rsidR="00C0715D">
        <w:rPr>
          <w:rFonts w:ascii="Calibri" w:eastAsia="Times New Roman" w:hAnsi="Calibri" w:cs="Times New Roman"/>
          <w:color w:val="000000"/>
          <w:lang w:eastAsia="nl-NL"/>
        </w:rPr>
        <w:t xml:space="preserve"> </w:t>
      </w:r>
      <w:r w:rsidR="0050019A">
        <w:rPr>
          <w:rFonts w:ascii="Calibri" w:eastAsia="Times New Roman" w:hAnsi="Calibri" w:cs="Times New Roman"/>
          <w:color w:val="000000"/>
          <w:lang w:eastAsia="nl-NL"/>
        </w:rPr>
        <w:t>cancer</w:t>
      </w:r>
      <w:r w:rsidR="00C0715D">
        <w:rPr>
          <w:rFonts w:ascii="Calibri" w:eastAsia="Times New Roman" w:hAnsi="Calibri" w:cs="Times New Roman"/>
          <w:color w:val="000000"/>
          <w:lang w:eastAsia="nl-NL"/>
        </w:rPr>
        <w:t xml:space="preserve"> and </w:t>
      </w:r>
      <w:r w:rsidR="00374341">
        <w:rPr>
          <w:rFonts w:ascii="Calibri" w:eastAsia="Times New Roman" w:hAnsi="Calibri" w:cs="Times New Roman"/>
          <w:color w:val="000000"/>
          <w:lang w:eastAsia="nl-NL"/>
        </w:rPr>
        <w:t>dementia</w:t>
      </w:r>
      <w:r w:rsidR="00C0715D">
        <w:rPr>
          <w:rFonts w:ascii="Calibri" w:eastAsia="Times New Roman" w:hAnsi="Calibri" w:cs="Times New Roman"/>
          <w:color w:val="000000"/>
          <w:lang w:eastAsia="nl-NL"/>
        </w:rPr>
        <w:t xml:space="preserve"> </w:t>
      </w:r>
      <w:r w:rsidR="004D6CD9">
        <w:rPr>
          <w:rFonts w:ascii="Calibri" w:eastAsia="Times New Roman" w:hAnsi="Calibri" w:cs="Times New Roman"/>
          <w:color w:val="000000"/>
          <w:lang w:eastAsia="nl-NL"/>
        </w:rPr>
        <w:t>HR</w:t>
      </w:r>
      <w:r w:rsidR="00374341">
        <w:rPr>
          <w:rFonts w:ascii="Calibri" w:eastAsia="Times New Roman" w:hAnsi="Calibri" w:cs="Times New Roman"/>
          <w:color w:val="000000"/>
          <w:lang w:eastAsia="nl-NL"/>
        </w:rPr>
        <w:t>s</w:t>
      </w:r>
      <w:r w:rsidR="00C0715D">
        <w:rPr>
          <w:rFonts w:ascii="Calibri" w:eastAsia="Times New Roman" w:hAnsi="Calibri" w:cs="Times New Roman"/>
          <w:color w:val="000000"/>
          <w:lang w:eastAsia="nl-NL"/>
        </w:rPr>
        <w:t xml:space="preserve">, </w:t>
      </w:r>
      <w:r w:rsidR="0050019A">
        <w:rPr>
          <w:rFonts w:ascii="Calibri" w:eastAsia="Times New Roman" w:hAnsi="Calibri" w:cs="Times New Roman"/>
          <w:color w:val="000000"/>
          <w:lang w:eastAsia="nl-NL"/>
        </w:rPr>
        <w:t>but</w:t>
      </w:r>
      <w:r w:rsidR="00C0715D">
        <w:rPr>
          <w:rFonts w:ascii="Calibri" w:eastAsia="Times New Roman" w:hAnsi="Calibri" w:cs="Times New Roman"/>
          <w:color w:val="000000"/>
          <w:lang w:eastAsia="nl-NL"/>
        </w:rPr>
        <w:t xml:space="preserve"> the increase in </w:t>
      </w:r>
      <w:r w:rsidR="002654E2">
        <w:rPr>
          <w:rFonts w:ascii="Calibri" w:eastAsia="Times New Roman" w:hAnsi="Calibri" w:cs="Times New Roman"/>
          <w:color w:val="000000"/>
          <w:lang w:eastAsia="nl-NL"/>
        </w:rPr>
        <w:t xml:space="preserve">death from </w:t>
      </w:r>
      <w:r w:rsidR="0050019A">
        <w:rPr>
          <w:rFonts w:ascii="Calibri" w:eastAsia="Times New Roman" w:hAnsi="Calibri" w:cs="Times New Roman"/>
          <w:color w:val="000000"/>
          <w:lang w:eastAsia="nl-NL"/>
        </w:rPr>
        <w:t>cancer</w:t>
      </w:r>
      <w:r w:rsidR="00C0715D">
        <w:rPr>
          <w:rFonts w:ascii="Calibri" w:eastAsia="Times New Roman" w:hAnsi="Calibri" w:cs="Times New Roman"/>
          <w:color w:val="000000"/>
          <w:lang w:eastAsia="nl-NL"/>
        </w:rPr>
        <w:t xml:space="preserve"> may be so high as to decrease the </w:t>
      </w:r>
      <w:r w:rsidR="004D6CD9">
        <w:rPr>
          <w:rFonts w:ascii="Calibri" w:eastAsia="Times New Roman" w:hAnsi="Calibri" w:cs="Times New Roman"/>
          <w:color w:val="000000"/>
          <w:lang w:eastAsia="nl-NL"/>
        </w:rPr>
        <w:t>actual</w:t>
      </w:r>
      <w:r w:rsidR="00C0715D">
        <w:rPr>
          <w:rFonts w:ascii="Calibri" w:eastAsia="Times New Roman" w:hAnsi="Calibri" w:cs="Times New Roman"/>
          <w:color w:val="000000"/>
          <w:lang w:eastAsia="nl-NL"/>
        </w:rPr>
        <w:t xml:space="preserve"> </w:t>
      </w:r>
      <w:r w:rsidR="00374341">
        <w:rPr>
          <w:rFonts w:ascii="Calibri" w:eastAsia="Times New Roman" w:hAnsi="Calibri" w:cs="Times New Roman"/>
          <w:color w:val="000000"/>
          <w:lang w:eastAsia="nl-NL"/>
        </w:rPr>
        <w:t>dementia incidence</w:t>
      </w:r>
      <w:r w:rsidR="00C0715D">
        <w:rPr>
          <w:rFonts w:ascii="Calibri" w:eastAsia="Times New Roman" w:hAnsi="Calibri" w:cs="Times New Roman"/>
          <w:color w:val="000000"/>
          <w:lang w:eastAsia="nl-NL"/>
        </w:rPr>
        <w:t>.</w:t>
      </w:r>
      <w:r w:rsidR="00C703C7">
        <w:rPr>
          <w:rFonts w:ascii="Calibri" w:eastAsia="Times New Roman" w:hAnsi="Calibri" w:cs="Times New Roman"/>
          <w:color w:val="000000"/>
          <w:lang w:eastAsia="nl-NL"/>
        </w:rPr>
        <w:fldChar w:fldCharType="begin" w:fldLock="1"/>
      </w:r>
      <w:r w:rsidR="008740CD">
        <w:rPr>
          <w:rFonts w:ascii="Calibri" w:eastAsia="Times New Roman" w:hAnsi="Calibri" w:cs="Times New Roman"/>
          <w:color w:val="000000"/>
          <w:lang w:eastAsia="nl-NL"/>
        </w:rPr>
        <w:instrText>ADDIN CSL_CITATION {"citationItems":[{"id":"ITEM-1","itemData":{"DOI":"10.1136/bmj.g5060","ISBN":"0959-535X","ISSN":"17561833","PMID":"25146097","abstract":"Martin Wolkewitz, senior research fellow1, Ben S Cooper, senior research fellow23, Marc J M Bonten, professor of molecular epidemiology of infectious diseases4, Adrian G Barnett, associate professor of public health5, Martin Schumacher, professor of statistics in medicine11Center for Medical Biometry and Medical Informatics, Institute for Medical Biometry and Statistics, Medical Center University of Freiburg, Germany2Mahidol-Oxford Tropical Medicine Research Unit, Faculty of Tropical Medicine, Mahidol University, Bangkok, Thailand3Centre for Tropical Medicine, Nuffield Department of Clinical Medicine, University of Oxford, Oxford, UK4Department of Medical Microbiology and Julius Center for Health Sciences and Primary Care, Universitair Medical Center Utrecht, 3508 GA Utrecht, Netherlands5Institute of Health and Biomedical Innovation and School of Public Health and Social Work, Queensland University of Technology, Brisbane, QLD 4059, AustraliaCorrespondence to: M Wolkewitz wolke{at}imbi.uni-freiburg.deAccepted 24 May 2014Competing events are common in medical research. Ignoring them in the statistical analysis can easily lead to flawed results and conclusions. This article uses a real dataset and a simple simulation to show how standard analysis fails and how such data should be analysedIntroductionSurvival or time-to-event analysis has become a widely used statistical method in medical research.1 It provides valuable insights into how the risk of the event of interest (such as death or disease) depends on time.2 However, the careless application of survival models may easily lead to flawed results when basic assumptions are not fulfilled. For instance, in a recent cluster randomised trial3 not more than 4% of the study patients acquired a primary bloodstream infection in hospital, but the reported cumulative risk of such an infection was up to 25%.4 Results from a cohort study of hospitalised children in Kenya reported no association between burns and nosocomial bacteraemia5 even though the cumulative risk was three times higher for children with burns.6 In a study of intensive care patients7 more than 95% were discharged alive, but their survival plots predict a survival probability from the intensive care unit of less than 20%.8 Such results are typical when so called competing events prevent us from observing the event of interest (such as primary bloodstream infection, nosocomial bacteraemia, or death in intensive care unit).9Checking model assumpti…","author":[{"dropping-particle":"","family":"Wolkewitz","given":"Martin","non-dropping-particle":"","parse-names":false,"suffix":""},{"dropping-particle":"","family":"Cooper","given":"Ben S.","non-dropping-particle":"","parse-names":false,"suffix":""},{"dropping-particle":"","family":"Bonten","given":"Marc J.M.","non-dropping-particle":"","parse-names":false,"suffix":""},{"dropping-particle":"","family":"Barnett","given":"Adrian G.","non-dropping-particle":"","parse-names":false,"suffix":""},{"dropping-particle":"","family":"Schumacher","given":"Martin","non-dropping-particle":"","parse-names":false,"suffix":""}],"container-title":"BMJ (Online)","id":"ITEM-1","issued":{"date-parts":[["2014"]]},"title":"Interpreting and comparing risks in the presence of competing events","type":"article-journal"},"uris":["http://www.mendeley.com/documents/?uuid=ea558aba-b464-4067-976f-16cc8e3760e4"]}],"mendeley":{"formattedCitation":"&lt;sup&gt;5&lt;/sup&gt;","plainTextFormattedCitation":"5","previouslyFormattedCitation":"&lt;sup&gt;5&lt;/sup&gt;"},"properties":{"noteIndex":0},"schema":"https://github.com/citation-style-language/schema/raw/master/csl-citation.json"}</w:instrText>
      </w:r>
      <w:r w:rsidR="00C703C7">
        <w:rPr>
          <w:rFonts w:ascii="Calibri" w:eastAsia="Times New Roman" w:hAnsi="Calibri" w:cs="Times New Roman"/>
          <w:color w:val="000000"/>
          <w:lang w:eastAsia="nl-NL"/>
        </w:rPr>
        <w:fldChar w:fldCharType="separate"/>
      </w:r>
      <w:r w:rsidR="00C703C7" w:rsidRPr="00C703C7">
        <w:rPr>
          <w:rFonts w:ascii="Calibri" w:eastAsia="Times New Roman" w:hAnsi="Calibri" w:cs="Times New Roman"/>
          <w:noProof/>
          <w:color w:val="000000"/>
          <w:vertAlign w:val="superscript"/>
          <w:lang w:eastAsia="nl-NL"/>
        </w:rPr>
        <w:t>5</w:t>
      </w:r>
      <w:r w:rsidR="00C703C7">
        <w:rPr>
          <w:rFonts w:ascii="Calibri" w:eastAsia="Times New Roman" w:hAnsi="Calibri" w:cs="Times New Roman"/>
          <w:color w:val="000000"/>
          <w:lang w:eastAsia="nl-NL"/>
        </w:rPr>
        <w:fldChar w:fldCharType="end"/>
      </w:r>
      <w:r w:rsidR="00C0715D">
        <w:rPr>
          <w:rFonts w:ascii="Calibri" w:eastAsia="Times New Roman" w:hAnsi="Calibri" w:cs="Times New Roman"/>
          <w:color w:val="000000"/>
          <w:lang w:eastAsia="nl-NL"/>
        </w:rPr>
        <w:t xml:space="preserve"> </w:t>
      </w:r>
      <w:r w:rsidR="004D6CD9">
        <w:rPr>
          <w:rFonts w:ascii="Calibri" w:eastAsia="Times New Roman" w:hAnsi="Calibri" w:cs="Times New Roman"/>
          <w:color w:val="000000"/>
          <w:lang w:eastAsia="nl-NL"/>
        </w:rPr>
        <w:t>The</w:t>
      </w:r>
      <w:r w:rsidR="0050019A">
        <w:rPr>
          <w:rFonts w:ascii="Calibri" w:eastAsia="Times New Roman" w:hAnsi="Calibri" w:cs="Times New Roman"/>
          <w:color w:val="000000"/>
          <w:lang w:eastAsia="nl-NL"/>
        </w:rPr>
        <w:t xml:space="preserve"> </w:t>
      </w:r>
      <w:proofErr w:type="spellStart"/>
      <w:r w:rsidR="0050019A">
        <w:rPr>
          <w:rFonts w:ascii="Calibri" w:eastAsia="Times New Roman" w:hAnsi="Calibri" w:cs="Times New Roman"/>
          <w:color w:val="000000"/>
          <w:lang w:eastAsia="nl-NL"/>
        </w:rPr>
        <w:t>subdistribution</w:t>
      </w:r>
      <w:proofErr w:type="spellEnd"/>
      <w:r w:rsidR="0050019A">
        <w:rPr>
          <w:rFonts w:ascii="Calibri" w:eastAsia="Times New Roman" w:hAnsi="Calibri" w:cs="Times New Roman"/>
          <w:color w:val="000000"/>
          <w:lang w:eastAsia="nl-NL"/>
        </w:rPr>
        <w:t xml:space="preserve"> </w:t>
      </w:r>
      <w:r w:rsidR="00AC401A">
        <w:rPr>
          <w:rFonts w:ascii="Calibri" w:eastAsia="Times New Roman" w:hAnsi="Calibri" w:cs="Times New Roman"/>
          <w:color w:val="000000"/>
          <w:lang w:eastAsia="nl-NL"/>
        </w:rPr>
        <w:t>hazard</w:t>
      </w:r>
      <w:r w:rsidR="0050019A">
        <w:rPr>
          <w:rFonts w:ascii="Calibri" w:eastAsia="Times New Roman" w:hAnsi="Calibri" w:cs="Times New Roman"/>
          <w:color w:val="000000"/>
          <w:lang w:eastAsia="nl-NL"/>
        </w:rPr>
        <w:t xml:space="preserve"> method</w:t>
      </w:r>
      <w:r w:rsidR="00C0715D">
        <w:rPr>
          <w:rFonts w:ascii="Calibri" w:eastAsia="Times New Roman" w:hAnsi="Calibri" w:cs="Times New Roman"/>
          <w:color w:val="000000"/>
          <w:lang w:eastAsia="nl-NL"/>
        </w:rPr>
        <w:t xml:space="preserve"> </w:t>
      </w:r>
      <w:r w:rsidR="00AC401A">
        <w:rPr>
          <w:rFonts w:ascii="Calibri" w:eastAsia="Times New Roman" w:hAnsi="Calibri" w:cs="Times New Roman"/>
          <w:color w:val="000000"/>
          <w:lang w:eastAsia="nl-NL"/>
        </w:rPr>
        <w:t>attenuates</w:t>
      </w:r>
      <w:r w:rsidR="00CC3F9A">
        <w:rPr>
          <w:rFonts w:ascii="Calibri" w:eastAsia="Times New Roman" w:hAnsi="Calibri" w:cs="Times New Roman"/>
          <w:color w:val="000000"/>
          <w:lang w:eastAsia="nl-NL"/>
        </w:rPr>
        <w:t xml:space="preserve"> the HR for</w:t>
      </w:r>
      <w:r w:rsidR="00C0715D">
        <w:rPr>
          <w:rFonts w:ascii="Calibri" w:eastAsia="Times New Roman" w:hAnsi="Calibri" w:cs="Times New Roman"/>
          <w:color w:val="000000"/>
          <w:lang w:eastAsia="nl-NL"/>
        </w:rPr>
        <w:t xml:space="preserve"> characteristics that</w:t>
      </w:r>
      <w:r w:rsidR="00CC3F9A">
        <w:rPr>
          <w:rFonts w:ascii="Calibri" w:eastAsia="Times New Roman" w:hAnsi="Calibri" w:cs="Times New Roman"/>
          <w:color w:val="000000"/>
          <w:lang w:eastAsia="nl-NL"/>
        </w:rPr>
        <w:t xml:space="preserve"> also</w:t>
      </w:r>
      <w:r w:rsidR="00C0715D">
        <w:rPr>
          <w:rFonts w:ascii="Calibri" w:eastAsia="Times New Roman" w:hAnsi="Calibri" w:cs="Times New Roman"/>
          <w:color w:val="000000"/>
          <w:lang w:eastAsia="nl-NL"/>
        </w:rPr>
        <w:t xml:space="preserve"> </w:t>
      </w:r>
      <w:r w:rsidR="005035AC">
        <w:rPr>
          <w:rFonts w:ascii="Calibri" w:eastAsia="Times New Roman" w:hAnsi="Calibri" w:cs="Times New Roman"/>
          <w:color w:val="000000"/>
          <w:lang w:eastAsia="nl-NL"/>
        </w:rPr>
        <w:t>increase the</w:t>
      </w:r>
      <w:r w:rsidR="00C0715D">
        <w:rPr>
          <w:rFonts w:ascii="Calibri" w:eastAsia="Times New Roman" w:hAnsi="Calibri" w:cs="Times New Roman"/>
          <w:color w:val="000000"/>
          <w:lang w:eastAsia="nl-NL"/>
        </w:rPr>
        <w:t xml:space="preserve"> competing event </w:t>
      </w:r>
      <w:r w:rsidR="004D6CD9">
        <w:rPr>
          <w:rFonts w:ascii="Calibri" w:eastAsia="Times New Roman" w:hAnsi="Calibri" w:cs="Times New Roman"/>
          <w:color w:val="000000"/>
          <w:lang w:eastAsia="nl-NL"/>
        </w:rPr>
        <w:t xml:space="preserve">HR and </w:t>
      </w:r>
      <w:r w:rsidR="00CC3F9A">
        <w:rPr>
          <w:rFonts w:ascii="Calibri" w:eastAsia="Times New Roman" w:hAnsi="Calibri" w:cs="Times New Roman"/>
          <w:color w:val="000000"/>
          <w:lang w:eastAsia="nl-NL"/>
        </w:rPr>
        <w:t>vice versa</w:t>
      </w:r>
      <w:r w:rsidR="00C0715D">
        <w:rPr>
          <w:rFonts w:ascii="Calibri" w:eastAsia="Times New Roman" w:hAnsi="Calibri" w:cs="Times New Roman"/>
          <w:color w:val="000000"/>
          <w:lang w:eastAsia="nl-NL"/>
        </w:rPr>
        <w:t>.</w:t>
      </w:r>
      <w:r w:rsidR="00CC3F9A">
        <w:rPr>
          <w:rFonts w:ascii="Calibri" w:eastAsia="Times New Roman" w:hAnsi="Calibri" w:cs="Times New Roman"/>
          <w:color w:val="000000"/>
          <w:lang w:eastAsia="nl-NL"/>
        </w:rPr>
        <w:t xml:space="preserve"> </w:t>
      </w:r>
    </w:p>
    <w:p w14:paraId="116D7A89" w14:textId="700C5A44" w:rsidR="00172A91" w:rsidRDefault="00CC3F9A" w:rsidP="00172A91">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In </w:t>
      </w:r>
      <w:r w:rsidR="00810AC0">
        <w:rPr>
          <w:rFonts w:ascii="Calibri" w:eastAsia="Times New Roman" w:hAnsi="Calibri" w:cs="Times New Roman"/>
          <w:color w:val="000000"/>
          <w:lang w:eastAsia="nl-NL"/>
        </w:rPr>
        <w:t>the current</w:t>
      </w:r>
      <w:r>
        <w:rPr>
          <w:rFonts w:ascii="Calibri" w:eastAsia="Times New Roman" w:hAnsi="Calibri" w:cs="Times New Roman"/>
          <w:color w:val="000000"/>
          <w:lang w:eastAsia="nl-NL"/>
        </w:rPr>
        <w:t xml:space="preserve"> context, t</w:t>
      </w:r>
      <w:r w:rsidR="008B303F">
        <w:rPr>
          <w:rFonts w:ascii="Calibri" w:eastAsia="Times New Roman" w:hAnsi="Calibri" w:cs="Times New Roman"/>
          <w:color w:val="000000"/>
          <w:lang w:eastAsia="nl-NL"/>
        </w:rPr>
        <w:t xml:space="preserve">he </w:t>
      </w:r>
      <w:proofErr w:type="spellStart"/>
      <w:r w:rsidR="008B303F">
        <w:rPr>
          <w:rFonts w:ascii="Calibri" w:eastAsia="Times New Roman" w:hAnsi="Calibri" w:cs="Times New Roman"/>
          <w:color w:val="000000"/>
          <w:lang w:eastAsia="nl-NL"/>
        </w:rPr>
        <w:t>subdistribution</w:t>
      </w:r>
      <w:proofErr w:type="spellEnd"/>
      <w:r w:rsidR="008B303F">
        <w:rPr>
          <w:rFonts w:ascii="Calibri" w:eastAsia="Times New Roman" w:hAnsi="Calibri" w:cs="Times New Roman"/>
          <w:color w:val="000000"/>
          <w:lang w:eastAsia="nl-NL"/>
        </w:rPr>
        <w:t xml:space="preserve"> </w:t>
      </w:r>
      <w:r w:rsidR="00AC401A">
        <w:rPr>
          <w:rFonts w:ascii="Calibri" w:eastAsia="Times New Roman" w:hAnsi="Calibri" w:cs="Times New Roman"/>
          <w:color w:val="000000"/>
          <w:lang w:eastAsia="nl-NL"/>
        </w:rPr>
        <w:t>hazard</w:t>
      </w:r>
      <w:r w:rsidR="008B303F">
        <w:rPr>
          <w:rFonts w:ascii="Calibri" w:eastAsia="Times New Roman" w:hAnsi="Calibri" w:cs="Times New Roman"/>
          <w:color w:val="000000"/>
          <w:lang w:eastAsia="nl-NL"/>
        </w:rPr>
        <w:t xml:space="preserve"> for dementia </w:t>
      </w:r>
      <w:r w:rsidR="006C3EE9">
        <w:rPr>
          <w:rFonts w:ascii="Calibri" w:eastAsia="Times New Roman" w:hAnsi="Calibri" w:cs="Times New Roman"/>
          <w:color w:val="000000"/>
          <w:lang w:eastAsia="nl-NL"/>
        </w:rPr>
        <w:t xml:space="preserve">is </w:t>
      </w:r>
      <w:r w:rsidR="0050019A">
        <w:rPr>
          <w:rFonts w:ascii="Calibri" w:eastAsia="Times New Roman" w:hAnsi="Calibri" w:cs="Times New Roman"/>
          <w:color w:val="000000"/>
          <w:lang w:eastAsia="nl-NL"/>
        </w:rPr>
        <w:t xml:space="preserve">perhaps less </w:t>
      </w:r>
      <w:r w:rsidR="00665F8E">
        <w:rPr>
          <w:rFonts w:ascii="Calibri" w:eastAsia="Times New Roman" w:hAnsi="Calibri" w:cs="Times New Roman"/>
          <w:color w:val="000000"/>
          <w:lang w:eastAsia="nl-NL"/>
        </w:rPr>
        <w:t>valuable</w:t>
      </w:r>
      <w:r w:rsidR="00513BFE">
        <w:rPr>
          <w:rFonts w:ascii="Calibri" w:eastAsia="Times New Roman" w:hAnsi="Calibri" w:cs="Times New Roman"/>
          <w:color w:val="000000"/>
          <w:lang w:eastAsia="nl-NL"/>
        </w:rPr>
        <w:t xml:space="preserve">. Any </w:t>
      </w:r>
      <w:r w:rsidR="000C08F1">
        <w:rPr>
          <w:rFonts w:ascii="Calibri" w:eastAsia="Times New Roman" w:hAnsi="Calibri" w:cs="Times New Roman"/>
          <w:color w:val="000000"/>
          <w:lang w:eastAsia="nl-NL"/>
        </w:rPr>
        <w:t>AHD</w:t>
      </w:r>
      <w:r w:rsidR="00513BFE">
        <w:rPr>
          <w:rFonts w:ascii="Calibri" w:eastAsia="Times New Roman" w:hAnsi="Calibri" w:cs="Times New Roman"/>
          <w:color w:val="000000"/>
          <w:lang w:eastAsia="nl-NL"/>
        </w:rPr>
        <w:t xml:space="preserve"> </w:t>
      </w:r>
      <w:r w:rsidR="000C08F1">
        <w:rPr>
          <w:rFonts w:ascii="Calibri" w:eastAsia="Times New Roman" w:hAnsi="Calibri" w:cs="Times New Roman"/>
          <w:color w:val="000000"/>
          <w:lang w:eastAsia="nl-NL"/>
        </w:rPr>
        <w:t xml:space="preserve">that reduces </w:t>
      </w:r>
      <w:r w:rsidR="0050019A">
        <w:rPr>
          <w:rFonts w:ascii="Calibri" w:eastAsia="Times New Roman" w:hAnsi="Calibri" w:cs="Times New Roman"/>
          <w:color w:val="000000"/>
          <w:lang w:eastAsia="nl-NL"/>
        </w:rPr>
        <w:t>dementia incidence</w:t>
      </w:r>
      <w:r w:rsidR="000C08F1">
        <w:rPr>
          <w:rFonts w:ascii="Calibri" w:eastAsia="Times New Roman" w:hAnsi="Calibri" w:cs="Times New Roman"/>
          <w:color w:val="000000"/>
          <w:lang w:eastAsia="nl-NL"/>
        </w:rPr>
        <w:t xml:space="preserve"> by increasing mortality is unlikely to be preferred by clinicians. Dementia</w:t>
      </w:r>
      <w:r w:rsidR="00C237A7">
        <w:rPr>
          <w:rFonts w:ascii="Calibri" w:eastAsia="Times New Roman" w:hAnsi="Calibri" w:cs="Times New Roman"/>
          <w:color w:val="000000"/>
          <w:lang w:eastAsia="nl-NL"/>
        </w:rPr>
        <w:t>-</w:t>
      </w:r>
      <w:r w:rsidR="000C08F1">
        <w:rPr>
          <w:rFonts w:ascii="Calibri" w:eastAsia="Times New Roman" w:hAnsi="Calibri" w:cs="Times New Roman"/>
          <w:color w:val="000000"/>
          <w:lang w:eastAsia="nl-NL"/>
        </w:rPr>
        <w:t>free mortality</w:t>
      </w:r>
      <w:r>
        <w:rPr>
          <w:rFonts w:ascii="Calibri" w:eastAsia="Times New Roman" w:hAnsi="Calibri" w:cs="Times New Roman"/>
          <w:color w:val="000000"/>
          <w:lang w:eastAsia="nl-NL"/>
        </w:rPr>
        <w:t xml:space="preserve"> (the cause-specific HR),</w:t>
      </w:r>
      <w:r w:rsidR="000C08F1">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defined as</w:t>
      </w:r>
      <w:r w:rsidR="000C08F1">
        <w:rPr>
          <w:rFonts w:ascii="Calibri" w:eastAsia="Times New Roman" w:hAnsi="Calibri" w:cs="Times New Roman"/>
          <w:color w:val="000000"/>
          <w:lang w:eastAsia="nl-NL"/>
        </w:rPr>
        <w:t xml:space="preserve"> </w:t>
      </w:r>
      <w:r w:rsidR="00FA41A9">
        <w:rPr>
          <w:rFonts w:ascii="Calibri" w:eastAsia="Times New Roman" w:hAnsi="Calibri" w:cs="Times New Roman"/>
          <w:color w:val="000000"/>
          <w:lang w:eastAsia="nl-NL"/>
        </w:rPr>
        <w:t xml:space="preserve">the </w:t>
      </w:r>
      <w:r w:rsidR="000C08F1">
        <w:rPr>
          <w:rFonts w:ascii="Calibri" w:eastAsia="Times New Roman" w:hAnsi="Calibri" w:cs="Times New Roman"/>
          <w:color w:val="000000"/>
          <w:lang w:eastAsia="nl-NL"/>
        </w:rPr>
        <w:t xml:space="preserve">mortality </w:t>
      </w:r>
      <w:r w:rsidR="00FA41A9">
        <w:rPr>
          <w:rFonts w:ascii="Calibri" w:eastAsia="Times New Roman" w:hAnsi="Calibri" w:cs="Times New Roman"/>
          <w:color w:val="000000"/>
          <w:lang w:eastAsia="nl-NL"/>
        </w:rPr>
        <w:t xml:space="preserve">HR </w:t>
      </w:r>
      <w:r>
        <w:rPr>
          <w:rFonts w:ascii="Calibri" w:eastAsia="Times New Roman" w:hAnsi="Calibri" w:cs="Times New Roman"/>
          <w:color w:val="000000"/>
          <w:lang w:eastAsia="nl-NL"/>
        </w:rPr>
        <w:t>with dementia</w:t>
      </w:r>
      <w:r w:rsidR="000C08F1">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censored </w:t>
      </w:r>
      <w:r w:rsidR="000C08F1">
        <w:rPr>
          <w:rFonts w:ascii="Calibri" w:eastAsia="Times New Roman" w:hAnsi="Calibri" w:cs="Times New Roman"/>
          <w:color w:val="000000"/>
          <w:lang w:eastAsia="nl-NL"/>
        </w:rPr>
        <w:t>as non-event</w:t>
      </w:r>
      <w:r w:rsidR="00FA41A9">
        <w:rPr>
          <w:rFonts w:ascii="Calibri" w:eastAsia="Times New Roman" w:hAnsi="Calibri" w:cs="Times New Roman"/>
          <w:color w:val="000000"/>
          <w:lang w:eastAsia="nl-NL"/>
        </w:rPr>
        <w:t>,</w:t>
      </w:r>
      <w:r w:rsidR="000C08F1">
        <w:rPr>
          <w:rFonts w:ascii="Calibri" w:eastAsia="Times New Roman" w:hAnsi="Calibri" w:cs="Times New Roman"/>
          <w:color w:val="000000"/>
          <w:lang w:eastAsia="nl-NL"/>
        </w:rPr>
        <w:t xml:space="preserve"> </w:t>
      </w:r>
      <w:r w:rsidR="008B303F">
        <w:rPr>
          <w:rFonts w:ascii="Calibri" w:eastAsia="Times New Roman" w:hAnsi="Calibri" w:cs="Times New Roman"/>
          <w:color w:val="000000"/>
          <w:lang w:eastAsia="nl-NL"/>
        </w:rPr>
        <w:t>may be</w:t>
      </w:r>
      <w:r w:rsidR="006C3EE9">
        <w:rPr>
          <w:rFonts w:ascii="Calibri" w:eastAsia="Times New Roman" w:hAnsi="Calibri" w:cs="Times New Roman"/>
          <w:color w:val="000000"/>
          <w:lang w:eastAsia="nl-NL"/>
        </w:rPr>
        <w:t xml:space="preserve"> more informative</w:t>
      </w:r>
      <w:r w:rsidR="000C08F1">
        <w:rPr>
          <w:rFonts w:ascii="Calibri" w:eastAsia="Times New Roman" w:hAnsi="Calibri" w:cs="Times New Roman"/>
          <w:color w:val="000000"/>
          <w:lang w:eastAsia="nl-NL"/>
        </w:rPr>
        <w:t xml:space="preserve">. </w:t>
      </w:r>
      <w:r w:rsidR="00114DB5">
        <w:rPr>
          <w:rFonts w:ascii="Calibri" w:eastAsia="Times New Roman" w:hAnsi="Calibri" w:cs="Times New Roman"/>
          <w:color w:val="000000"/>
          <w:lang w:eastAsia="nl-NL"/>
        </w:rPr>
        <w:t>When</w:t>
      </w:r>
      <w:r w:rsidR="000C08F1">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equal or below neutral (HR ≤1)</w:t>
      </w:r>
      <w:r w:rsidR="000C08F1">
        <w:rPr>
          <w:rFonts w:ascii="Calibri" w:eastAsia="Times New Roman" w:hAnsi="Calibri" w:cs="Times New Roman"/>
          <w:color w:val="000000"/>
          <w:lang w:eastAsia="nl-NL"/>
        </w:rPr>
        <w:t xml:space="preserve">, it indicates any reduced risk of dementia cannot be ascribed to </w:t>
      </w:r>
      <w:r w:rsidR="00665F8E">
        <w:rPr>
          <w:rFonts w:ascii="Calibri" w:eastAsia="Times New Roman" w:hAnsi="Calibri" w:cs="Times New Roman"/>
          <w:color w:val="000000"/>
          <w:lang w:eastAsia="nl-NL"/>
        </w:rPr>
        <w:t>increased</w:t>
      </w:r>
      <w:r w:rsidR="000C08F1">
        <w:rPr>
          <w:rFonts w:ascii="Calibri" w:eastAsia="Times New Roman" w:hAnsi="Calibri" w:cs="Times New Roman"/>
          <w:color w:val="000000"/>
          <w:lang w:eastAsia="nl-NL"/>
        </w:rPr>
        <w:t xml:space="preserve"> mortality. Our results suggest</w:t>
      </w:r>
      <w:r w:rsidR="00C237A7">
        <w:rPr>
          <w:rFonts w:ascii="Calibri" w:eastAsia="Times New Roman" w:hAnsi="Calibri" w:cs="Times New Roman"/>
          <w:color w:val="000000"/>
          <w:lang w:eastAsia="nl-NL"/>
        </w:rPr>
        <w:t xml:space="preserve"> participants with </w:t>
      </w:r>
      <w:r w:rsidR="005035AC">
        <w:rPr>
          <w:rFonts w:ascii="Calibri" w:eastAsia="Times New Roman" w:hAnsi="Calibri" w:cs="Times New Roman"/>
          <w:color w:val="000000"/>
          <w:lang w:eastAsia="nl-NL"/>
        </w:rPr>
        <w:t>more</w:t>
      </w:r>
      <w:r w:rsidR="000C08F1">
        <w:rPr>
          <w:rFonts w:ascii="Calibri" w:eastAsia="Times New Roman" w:hAnsi="Calibri" w:cs="Times New Roman"/>
          <w:color w:val="000000"/>
          <w:lang w:eastAsia="nl-NL"/>
        </w:rPr>
        <w:t xml:space="preserve"> AHD</w:t>
      </w:r>
      <w:r w:rsidR="00683F98">
        <w:rPr>
          <w:rFonts w:ascii="Calibri" w:eastAsia="Times New Roman" w:hAnsi="Calibri" w:cs="Times New Roman"/>
          <w:color w:val="000000"/>
          <w:lang w:eastAsia="nl-NL"/>
        </w:rPr>
        <w:t xml:space="preserve"> classe</w:t>
      </w:r>
      <w:r w:rsidR="005035AC">
        <w:rPr>
          <w:rFonts w:ascii="Calibri" w:eastAsia="Times New Roman" w:hAnsi="Calibri" w:cs="Times New Roman"/>
          <w:color w:val="000000"/>
          <w:lang w:eastAsia="nl-NL"/>
        </w:rPr>
        <w:t>s</w:t>
      </w:r>
      <w:r w:rsidR="000C08F1">
        <w:rPr>
          <w:rFonts w:ascii="Calibri" w:eastAsia="Times New Roman" w:hAnsi="Calibri" w:cs="Times New Roman"/>
          <w:color w:val="000000"/>
          <w:lang w:eastAsia="nl-NL"/>
        </w:rPr>
        <w:t xml:space="preserve"> have</w:t>
      </w:r>
      <w:r w:rsidR="00C237A7">
        <w:rPr>
          <w:rFonts w:ascii="Calibri" w:eastAsia="Times New Roman" w:hAnsi="Calibri" w:cs="Times New Roman"/>
          <w:color w:val="000000"/>
          <w:lang w:eastAsia="nl-NL"/>
        </w:rPr>
        <w:t xml:space="preserve"> </w:t>
      </w:r>
      <w:r w:rsidR="000C08F1">
        <w:rPr>
          <w:rFonts w:ascii="Calibri" w:eastAsia="Times New Roman" w:hAnsi="Calibri" w:cs="Times New Roman"/>
          <w:color w:val="000000"/>
          <w:lang w:eastAsia="nl-NL"/>
        </w:rPr>
        <w:t>significantly higher HR</w:t>
      </w:r>
      <w:r w:rsidR="00C237A7">
        <w:rPr>
          <w:rFonts w:ascii="Calibri" w:eastAsia="Times New Roman" w:hAnsi="Calibri" w:cs="Times New Roman"/>
          <w:color w:val="000000"/>
          <w:lang w:eastAsia="nl-NL"/>
        </w:rPr>
        <w:t>s</w:t>
      </w:r>
      <w:r w:rsidR="000C08F1">
        <w:rPr>
          <w:rFonts w:ascii="Calibri" w:eastAsia="Times New Roman" w:hAnsi="Calibri" w:cs="Times New Roman"/>
          <w:color w:val="000000"/>
          <w:lang w:eastAsia="nl-NL"/>
        </w:rPr>
        <w:t xml:space="preserve"> </w:t>
      </w:r>
      <w:r w:rsidR="00C237A7">
        <w:rPr>
          <w:rFonts w:ascii="Calibri" w:eastAsia="Times New Roman" w:hAnsi="Calibri" w:cs="Times New Roman"/>
          <w:color w:val="000000"/>
          <w:lang w:eastAsia="nl-NL"/>
        </w:rPr>
        <w:t>for</w:t>
      </w:r>
      <w:r w:rsidR="000C08F1">
        <w:rPr>
          <w:rFonts w:ascii="Calibri" w:eastAsia="Times New Roman" w:hAnsi="Calibri" w:cs="Times New Roman"/>
          <w:color w:val="000000"/>
          <w:lang w:eastAsia="nl-NL"/>
        </w:rPr>
        <w:t xml:space="preserve"> mortality</w:t>
      </w:r>
      <w:r w:rsidR="00114DB5">
        <w:rPr>
          <w:rFonts w:ascii="Calibri" w:eastAsia="Times New Roman" w:hAnsi="Calibri" w:cs="Times New Roman"/>
          <w:color w:val="000000"/>
          <w:lang w:eastAsia="nl-NL"/>
        </w:rPr>
        <w:t xml:space="preserve"> (Table 1)</w:t>
      </w:r>
      <w:r w:rsidR="006A288E">
        <w:rPr>
          <w:rFonts w:ascii="Calibri" w:eastAsia="Times New Roman" w:hAnsi="Calibri" w:cs="Times New Roman"/>
          <w:color w:val="000000"/>
          <w:lang w:eastAsia="nl-NL"/>
        </w:rPr>
        <w:t xml:space="preserve">, </w:t>
      </w:r>
      <w:r w:rsidR="005035AC">
        <w:rPr>
          <w:rFonts w:ascii="Calibri" w:eastAsia="Times New Roman" w:hAnsi="Calibri" w:cs="Times New Roman"/>
          <w:color w:val="000000"/>
          <w:lang w:eastAsia="nl-NL"/>
        </w:rPr>
        <w:t xml:space="preserve">potentially </w:t>
      </w:r>
      <w:r w:rsidR="00683F98">
        <w:rPr>
          <w:rFonts w:ascii="Calibri" w:eastAsia="Times New Roman" w:hAnsi="Calibri" w:cs="Times New Roman"/>
          <w:color w:val="000000"/>
          <w:lang w:eastAsia="nl-NL"/>
        </w:rPr>
        <w:t xml:space="preserve">explaining </w:t>
      </w:r>
      <w:r w:rsidR="000C08F1">
        <w:rPr>
          <w:rFonts w:ascii="Calibri" w:eastAsia="Times New Roman" w:hAnsi="Calibri" w:cs="Times New Roman"/>
          <w:color w:val="000000"/>
          <w:lang w:eastAsia="nl-NL"/>
        </w:rPr>
        <w:t>the lower</w:t>
      </w:r>
      <w:r w:rsidR="00C703C7">
        <w:rPr>
          <w:rFonts w:ascii="Calibri" w:eastAsia="Times New Roman" w:hAnsi="Calibri" w:cs="Times New Roman"/>
          <w:color w:val="000000"/>
          <w:lang w:eastAsia="nl-NL"/>
        </w:rPr>
        <w:t xml:space="preserve"> HR for</w:t>
      </w:r>
      <w:r w:rsidR="000C08F1">
        <w:rPr>
          <w:rFonts w:ascii="Calibri" w:eastAsia="Times New Roman" w:hAnsi="Calibri" w:cs="Times New Roman"/>
          <w:color w:val="000000"/>
          <w:lang w:eastAsia="nl-NL"/>
        </w:rPr>
        <w:t xml:space="preserve"> </w:t>
      </w:r>
      <w:r w:rsidR="00665F8E">
        <w:rPr>
          <w:rFonts w:ascii="Calibri" w:eastAsia="Times New Roman" w:hAnsi="Calibri" w:cs="Times New Roman"/>
          <w:color w:val="000000"/>
          <w:lang w:eastAsia="nl-NL"/>
        </w:rPr>
        <w:t>dementia</w:t>
      </w:r>
      <w:r w:rsidR="000C08F1">
        <w:rPr>
          <w:rFonts w:ascii="Calibri" w:eastAsia="Times New Roman" w:hAnsi="Calibri" w:cs="Times New Roman"/>
          <w:color w:val="000000"/>
          <w:lang w:eastAsia="nl-NL"/>
        </w:rPr>
        <w:t>.</w:t>
      </w:r>
    </w:p>
    <w:p w14:paraId="4ED547C9" w14:textId="564E81A4" w:rsidR="00172A91" w:rsidRDefault="00EC08C5" w:rsidP="00172A91">
      <w:pPr>
        <w:rPr>
          <w:rFonts w:ascii="Calibri" w:eastAsia="Times New Roman" w:hAnsi="Calibri" w:cs="Times New Roman"/>
          <w:color w:val="000000"/>
          <w:lang w:eastAsia="nl-NL"/>
        </w:rPr>
      </w:pPr>
      <w:r>
        <w:rPr>
          <w:rFonts w:ascii="Calibri" w:eastAsia="Times New Roman" w:hAnsi="Calibri" w:cs="Times New Roman"/>
          <w:color w:val="000000"/>
          <w:lang w:eastAsia="nl-NL"/>
        </w:rPr>
        <w:t>Considering</w:t>
      </w:r>
      <w:r w:rsidR="00EB7A2E">
        <w:rPr>
          <w:rFonts w:ascii="Calibri" w:eastAsia="Times New Roman" w:hAnsi="Calibri" w:cs="Times New Roman"/>
          <w:color w:val="000000"/>
          <w:lang w:eastAsia="nl-NL"/>
        </w:rPr>
        <w:t xml:space="preserve"> </w:t>
      </w:r>
      <w:r w:rsidR="00114DB5">
        <w:rPr>
          <w:rFonts w:ascii="Calibri" w:eastAsia="Times New Roman" w:hAnsi="Calibri" w:cs="Times New Roman"/>
          <w:color w:val="000000"/>
          <w:lang w:eastAsia="nl-NL"/>
        </w:rPr>
        <w:t xml:space="preserve">dementia and mortality </w:t>
      </w:r>
      <w:r w:rsidR="007D5B87">
        <w:rPr>
          <w:rFonts w:ascii="Calibri" w:eastAsia="Times New Roman" w:hAnsi="Calibri" w:cs="Times New Roman"/>
          <w:color w:val="000000"/>
          <w:lang w:eastAsia="nl-NL"/>
        </w:rPr>
        <w:t>as</w:t>
      </w:r>
      <w:r w:rsidR="00114DB5">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similarly</w:t>
      </w:r>
      <w:r w:rsidR="00114DB5">
        <w:rPr>
          <w:rFonts w:ascii="Calibri" w:eastAsia="Times New Roman" w:hAnsi="Calibri" w:cs="Times New Roman"/>
          <w:color w:val="000000"/>
          <w:lang w:eastAsia="nl-NL"/>
        </w:rPr>
        <w:t xml:space="preserve"> poor outcomes, the combined endpoint dementia</w:t>
      </w:r>
      <w:r w:rsidR="002654E2">
        <w:rPr>
          <w:rFonts w:ascii="Calibri" w:eastAsia="Times New Roman" w:hAnsi="Calibri" w:cs="Times New Roman"/>
          <w:color w:val="000000"/>
          <w:lang w:eastAsia="nl-NL"/>
        </w:rPr>
        <w:t>/</w:t>
      </w:r>
      <w:r w:rsidR="00114DB5">
        <w:rPr>
          <w:rFonts w:ascii="Calibri" w:eastAsia="Times New Roman" w:hAnsi="Calibri" w:cs="Times New Roman"/>
          <w:color w:val="000000"/>
          <w:lang w:eastAsia="nl-NL"/>
        </w:rPr>
        <w:t xml:space="preserve">mortality </w:t>
      </w:r>
      <w:r w:rsidR="006C6BB5">
        <w:rPr>
          <w:rFonts w:ascii="Calibri" w:eastAsia="Times New Roman" w:hAnsi="Calibri" w:cs="Times New Roman"/>
          <w:color w:val="000000"/>
          <w:lang w:eastAsia="nl-NL"/>
        </w:rPr>
        <w:t xml:space="preserve">would </w:t>
      </w:r>
      <w:r w:rsidR="007D5B87">
        <w:rPr>
          <w:rFonts w:ascii="Calibri" w:eastAsia="Times New Roman" w:hAnsi="Calibri" w:cs="Times New Roman"/>
          <w:color w:val="000000"/>
          <w:lang w:eastAsia="nl-NL"/>
        </w:rPr>
        <w:t>be</w:t>
      </w:r>
      <w:r w:rsidR="00114DB5">
        <w:rPr>
          <w:rFonts w:ascii="Calibri" w:eastAsia="Times New Roman" w:hAnsi="Calibri" w:cs="Times New Roman"/>
          <w:color w:val="000000"/>
          <w:lang w:eastAsia="nl-NL"/>
        </w:rPr>
        <w:t xml:space="preserve"> most </w:t>
      </w:r>
      <w:r w:rsidR="006F3189">
        <w:rPr>
          <w:rFonts w:ascii="Calibri" w:eastAsia="Times New Roman" w:hAnsi="Calibri" w:cs="Times New Roman"/>
          <w:color w:val="000000"/>
          <w:lang w:eastAsia="nl-NL"/>
        </w:rPr>
        <w:t>informativ</w:t>
      </w:r>
      <w:r w:rsidR="008A27DC">
        <w:rPr>
          <w:rFonts w:ascii="Calibri" w:eastAsia="Times New Roman" w:hAnsi="Calibri" w:cs="Times New Roman"/>
          <w:color w:val="000000"/>
          <w:lang w:eastAsia="nl-NL"/>
        </w:rPr>
        <w:t>e</w:t>
      </w:r>
      <w:r w:rsidR="00114DB5">
        <w:rPr>
          <w:rFonts w:ascii="Calibri" w:eastAsia="Times New Roman" w:hAnsi="Calibri" w:cs="Times New Roman"/>
          <w:color w:val="000000"/>
          <w:lang w:eastAsia="nl-NL"/>
        </w:rPr>
        <w:t xml:space="preserve">. </w:t>
      </w:r>
      <w:r w:rsidR="005035AC">
        <w:rPr>
          <w:rFonts w:ascii="Calibri" w:eastAsia="Times New Roman" w:hAnsi="Calibri" w:cs="Times New Roman"/>
          <w:color w:val="000000"/>
          <w:lang w:eastAsia="nl-NL"/>
        </w:rPr>
        <w:t>In our analyses, p</w:t>
      </w:r>
      <w:r w:rsidR="00114DB5">
        <w:rPr>
          <w:rFonts w:ascii="Calibri" w:eastAsia="Times New Roman" w:hAnsi="Calibri" w:cs="Times New Roman"/>
          <w:color w:val="000000"/>
          <w:lang w:eastAsia="nl-NL"/>
        </w:rPr>
        <w:t>articipants using &gt;1 AHD class had an approximately 20% higher risk of death</w:t>
      </w:r>
      <w:r w:rsidR="00665F8E">
        <w:rPr>
          <w:rFonts w:ascii="Calibri" w:eastAsia="Times New Roman" w:hAnsi="Calibri" w:cs="Times New Roman"/>
          <w:color w:val="000000"/>
          <w:lang w:eastAsia="nl-NL"/>
        </w:rPr>
        <w:t>/</w:t>
      </w:r>
      <w:r w:rsidR="00114DB5">
        <w:rPr>
          <w:rFonts w:ascii="Calibri" w:eastAsia="Times New Roman" w:hAnsi="Calibri" w:cs="Times New Roman"/>
          <w:color w:val="000000"/>
          <w:lang w:eastAsia="nl-NL"/>
        </w:rPr>
        <w:t>dementia</w:t>
      </w:r>
      <w:r w:rsidR="00665F8E">
        <w:rPr>
          <w:rFonts w:ascii="Calibri" w:eastAsia="Times New Roman" w:hAnsi="Calibri" w:cs="Times New Roman"/>
          <w:color w:val="000000"/>
          <w:lang w:eastAsia="nl-NL"/>
        </w:rPr>
        <w:t xml:space="preserve"> combined</w:t>
      </w:r>
      <w:r w:rsidR="00114DB5">
        <w:rPr>
          <w:rFonts w:ascii="Calibri" w:eastAsia="Times New Roman" w:hAnsi="Calibri" w:cs="Times New Roman"/>
          <w:color w:val="000000"/>
          <w:lang w:eastAsia="nl-NL"/>
        </w:rPr>
        <w:t xml:space="preserve">, </w:t>
      </w:r>
      <w:r w:rsidR="008A27DC">
        <w:rPr>
          <w:rFonts w:ascii="Calibri" w:eastAsia="Times New Roman" w:hAnsi="Calibri" w:cs="Times New Roman"/>
          <w:color w:val="000000"/>
          <w:lang w:eastAsia="nl-NL"/>
        </w:rPr>
        <w:t>negating</w:t>
      </w:r>
      <w:r w:rsidR="00114DB5">
        <w:rPr>
          <w:rFonts w:ascii="Calibri" w:eastAsia="Times New Roman" w:hAnsi="Calibri" w:cs="Times New Roman"/>
          <w:color w:val="000000"/>
          <w:lang w:eastAsia="nl-NL"/>
        </w:rPr>
        <w:t xml:space="preserve"> the clinical value of any reduction in dementia risk.</w:t>
      </w:r>
      <w:r w:rsidR="000C08F1">
        <w:rPr>
          <w:rFonts w:ascii="Calibri" w:eastAsia="Times New Roman" w:hAnsi="Calibri" w:cs="Times New Roman"/>
          <w:color w:val="000000"/>
          <w:lang w:eastAsia="nl-NL"/>
        </w:rPr>
        <w:t xml:space="preserve"> </w:t>
      </w:r>
      <w:r w:rsidR="00810AC0">
        <w:rPr>
          <w:rFonts w:ascii="Calibri" w:eastAsia="Times New Roman" w:hAnsi="Calibri" w:cs="Times New Roman"/>
          <w:color w:val="000000"/>
          <w:lang w:eastAsia="nl-NL"/>
        </w:rPr>
        <w:t xml:space="preserve">The </w:t>
      </w:r>
      <w:r w:rsidR="000033B4">
        <w:rPr>
          <w:rFonts w:ascii="Calibri" w:eastAsia="Times New Roman" w:hAnsi="Calibri" w:cs="Times New Roman"/>
          <w:color w:val="000000"/>
          <w:lang w:eastAsia="nl-NL"/>
        </w:rPr>
        <w:t>HR for</w:t>
      </w:r>
      <w:r w:rsidR="00683F98">
        <w:rPr>
          <w:rFonts w:ascii="Calibri" w:eastAsia="Times New Roman" w:hAnsi="Calibri" w:cs="Times New Roman"/>
          <w:color w:val="000000"/>
          <w:lang w:eastAsia="nl-NL"/>
        </w:rPr>
        <w:t xml:space="preserve"> </w:t>
      </w:r>
      <w:r w:rsidR="00810AC0">
        <w:rPr>
          <w:rFonts w:ascii="Calibri" w:eastAsia="Times New Roman" w:hAnsi="Calibri" w:cs="Times New Roman"/>
          <w:color w:val="000000"/>
          <w:lang w:eastAsia="nl-NL"/>
        </w:rPr>
        <w:t xml:space="preserve">mortality </w:t>
      </w:r>
      <w:r w:rsidR="000033B4">
        <w:rPr>
          <w:rFonts w:ascii="Calibri" w:eastAsia="Times New Roman" w:hAnsi="Calibri" w:cs="Times New Roman"/>
          <w:color w:val="000000"/>
          <w:lang w:eastAsia="nl-NL"/>
        </w:rPr>
        <w:t>influences</w:t>
      </w:r>
      <w:r w:rsidR="00810AC0">
        <w:rPr>
          <w:rFonts w:ascii="Calibri" w:eastAsia="Times New Roman" w:hAnsi="Calibri" w:cs="Times New Roman"/>
          <w:color w:val="000000"/>
          <w:lang w:eastAsia="nl-NL"/>
        </w:rPr>
        <w:t xml:space="preserve"> the combined HR </w:t>
      </w:r>
      <w:r w:rsidR="000033B4">
        <w:rPr>
          <w:rFonts w:ascii="Calibri" w:eastAsia="Times New Roman" w:hAnsi="Calibri" w:cs="Times New Roman"/>
          <w:color w:val="000000"/>
          <w:lang w:eastAsia="nl-NL"/>
        </w:rPr>
        <w:t>most since</w:t>
      </w:r>
      <w:r w:rsidR="00810AC0">
        <w:rPr>
          <w:rFonts w:ascii="Calibri" w:eastAsia="Times New Roman" w:hAnsi="Calibri" w:cs="Times New Roman"/>
          <w:color w:val="000000"/>
          <w:lang w:eastAsia="nl-NL"/>
        </w:rPr>
        <w:t xml:space="preserve"> mortality occurr</w:t>
      </w:r>
      <w:r w:rsidR="000033B4">
        <w:rPr>
          <w:rFonts w:ascii="Calibri" w:eastAsia="Times New Roman" w:hAnsi="Calibri" w:cs="Times New Roman"/>
          <w:color w:val="000000"/>
          <w:lang w:eastAsia="nl-NL"/>
        </w:rPr>
        <w:t>ed</w:t>
      </w:r>
      <w:r w:rsidR="00810AC0">
        <w:rPr>
          <w:rFonts w:ascii="Calibri" w:eastAsia="Times New Roman" w:hAnsi="Calibri" w:cs="Times New Roman"/>
          <w:color w:val="000000"/>
          <w:lang w:eastAsia="nl-NL"/>
        </w:rPr>
        <w:t xml:space="preserve"> about twice as often</w:t>
      </w:r>
      <w:r w:rsidR="000033B4">
        <w:rPr>
          <w:rFonts w:ascii="Calibri" w:eastAsia="Times New Roman" w:hAnsi="Calibri" w:cs="Times New Roman"/>
          <w:color w:val="000000"/>
          <w:lang w:eastAsia="nl-NL"/>
        </w:rPr>
        <w:t xml:space="preserve"> as dementia</w:t>
      </w:r>
      <w:r w:rsidR="00810AC0">
        <w:rPr>
          <w:rFonts w:ascii="Calibri" w:eastAsia="Times New Roman" w:hAnsi="Calibri" w:cs="Times New Roman"/>
          <w:color w:val="000000"/>
          <w:lang w:eastAsia="nl-NL"/>
        </w:rPr>
        <w:t xml:space="preserve">. </w:t>
      </w:r>
      <w:r w:rsidR="00810AC0">
        <w:t>Mortality in the</w:t>
      </w:r>
      <w:r w:rsidR="000033B4">
        <w:t xml:space="preserve"> </w:t>
      </w:r>
      <w:r w:rsidR="00810AC0">
        <w:t>cohort described by Tan et al. exceeded that in ours (45%</w:t>
      </w:r>
      <w:r w:rsidR="005B115F">
        <w:t xml:space="preserve"> vs </w:t>
      </w:r>
      <w:r w:rsidR="00810AC0">
        <w:t>15%), possibly magnifying the effect on the dementia HR</w:t>
      </w:r>
      <w:r w:rsidR="00810AC0">
        <w:rPr>
          <w:rFonts w:ascii="Calibri" w:eastAsia="Times New Roman" w:hAnsi="Calibri" w:cs="Times New Roman"/>
          <w:color w:val="000000"/>
          <w:lang w:eastAsia="nl-NL"/>
        </w:rPr>
        <w:t xml:space="preserve">. </w:t>
      </w:r>
      <w:r w:rsidR="000033B4">
        <w:rPr>
          <w:rFonts w:ascii="Calibri" w:eastAsia="Times New Roman" w:hAnsi="Calibri" w:cs="Times New Roman"/>
          <w:color w:val="000000"/>
          <w:lang w:eastAsia="nl-NL"/>
        </w:rPr>
        <w:t>Additional analyses regarding</w:t>
      </w:r>
      <w:r w:rsidR="00810AC0">
        <w:rPr>
          <w:rFonts w:ascii="Calibri" w:eastAsia="Times New Roman" w:hAnsi="Calibri" w:cs="Times New Roman"/>
          <w:color w:val="000000"/>
          <w:lang w:eastAsia="nl-NL"/>
        </w:rPr>
        <w:t xml:space="preserve"> the </w:t>
      </w:r>
      <w:r w:rsidR="00C703C7">
        <w:rPr>
          <w:rFonts w:ascii="Calibri" w:eastAsia="Times New Roman" w:hAnsi="Calibri" w:cs="Times New Roman"/>
          <w:color w:val="000000"/>
          <w:lang w:eastAsia="nl-NL"/>
        </w:rPr>
        <w:t>HR for</w:t>
      </w:r>
      <w:r w:rsidR="00810AC0">
        <w:rPr>
          <w:rFonts w:ascii="Calibri" w:eastAsia="Times New Roman" w:hAnsi="Calibri" w:cs="Times New Roman"/>
          <w:color w:val="000000"/>
          <w:lang w:eastAsia="nl-NL"/>
        </w:rPr>
        <w:t xml:space="preserve"> mortality </w:t>
      </w:r>
      <w:r w:rsidR="000033B4">
        <w:rPr>
          <w:rFonts w:ascii="Calibri" w:eastAsia="Times New Roman" w:hAnsi="Calibri" w:cs="Times New Roman"/>
          <w:color w:val="000000"/>
          <w:lang w:eastAsia="nl-NL"/>
        </w:rPr>
        <w:t>are</w:t>
      </w:r>
      <w:r w:rsidR="00810AC0">
        <w:rPr>
          <w:rFonts w:ascii="Calibri" w:eastAsia="Times New Roman" w:hAnsi="Calibri" w:cs="Times New Roman"/>
          <w:color w:val="000000"/>
          <w:lang w:eastAsia="nl-NL"/>
        </w:rPr>
        <w:t xml:space="preserve"> therefore </w:t>
      </w:r>
      <w:r w:rsidR="000033B4">
        <w:rPr>
          <w:rFonts w:ascii="Calibri" w:eastAsia="Times New Roman" w:hAnsi="Calibri" w:cs="Times New Roman"/>
          <w:color w:val="000000"/>
          <w:lang w:eastAsia="nl-NL"/>
        </w:rPr>
        <w:t>highly relevant</w:t>
      </w:r>
      <w:r w:rsidR="00810AC0">
        <w:rPr>
          <w:rFonts w:ascii="Calibri" w:eastAsia="Times New Roman" w:hAnsi="Calibri" w:cs="Times New Roman"/>
          <w:color w:val="000000"/>
          <w:lang w:eastAsia="nl-NL"/>
        </w:rPr>
        <w:t xml:space="preserve">. </w:t>
      </w:r>
      <w:r w:rsidR="007D5B87">
        <w:rPr>
          <w:rFonts w:ascii="Calibri" w:eastAsia="Times New Roman" w:hAnsi="Calibri" w:cs="Times New Roman"/>
          <w:color w:val="000000"/>
          <w:lang w:eastAsia="nl-NL"/>
        </w:rPr>
        <w:t xml:space="preserve">Only characteristics associated </w:t>
      </w:r>
      <w:r w:rsidR="00374341">
        <w:rPr>
          <w:rFonts w:ascii="Calibri" w:eastAsia="Times New Roman" w:hAnsi="Calibri" w:cs="Times New Roman"/>
          <w:color w:val="000000"/>
          <w:lang w:eastAsia="nl-NL"/>
        </w:rPr>
        <w:t>with both a</w:t>
      </w:r>
      <w:r w:rsidR="007D5B87">
        <w:rPr>
          <w:rFonts w:ascii="Calibri" w:eastAsia="Times New Roman" w:hAnsi="Calibri" w:cs="Times New Roman"/>
          <w:color w:val="000000"/>
          <w:lang w:eastAsia="nl-NL"/>
        </w:rPr>
        <w:t xml:space="preserve"> lower </w:t>
      </w:r>
      <w:r w:rsidR="00374341">
        <w:rPr>
          <w:rFonts w:ascii="Calibri" w:eastAsia="Times New Roman" w:hAnsi="Calibri" w:cs="Times New Roman"/>
          <w:color w:val="000000"/>
          <w:lang w:eastAsia="nl-NL"/>
        </w:rPr>
        <w:t xml:space="preserve">dementia </w:t>
      </w:r>
      <w:r w:rsidR="007D5B87">
        <w:rPr>
          <w:rFonts w:ascii="Calibri" w:eastAsia="Times New Roman" w:hAnsi="Calibri" w:cs="Times New Roman"/>
          <w:color w:val="000000"/>
          <w:lang w:eastAsia="nl-NL"/>
        </w:rPr>
        <w:t xml:space="preserve">and neutral or lower </w:t>
      </w:r>
      <w:r w:rsidR="00374341">
        <w:rPr>
          <w:rFonts w:ascii="Calibri" w:eastAsia="Times New Roman" w:hAnsi="Calibri" w:cs="Times New Roman"/>
          <w:color w:val="000000"/>
          <w:lang w:eastAsia="nl-NL"/>
        </w:rPr>
        <w:t xml:space="preserve">mortality </w:t>
      </w:r>
      <w:r w:rsidR="007D5B87">
        <w:rPr>
          <w:rFonts w:ascii="Calibri" w:eastAsia="Times New Roman" w:hAnsi="Calibri" w:cs="Times New Roman"/>
          <w:color w:val="000000"/>
          <w:lang w:eastAsia="nl-NL"/>
        </w:rPr>
        <w:t xml:space="preserve">risk can be unequivocally </w:t>
      </w:r>
      <w:r w:rsidR="005B115F">
        <w:rPr>
          <w:rFonts w:ascii="Calibri" w:eastAsia="Times New Roman" w:hAnsi="Calibri" w:cs="Times New Roman"/>
          <w:color w:val="000000"/>
          <w:lang w:eastAsia="nl-NL"/>
        </w:rPr>
        <w:t>considered</w:t>
      </w:r>
      <w:r w:rsidR="007D5B87">
        <w:rPr>
          <w:rFonts w:ascii="Calibri" w:eastAsia="Times New Roman" w:hAnsi="Calibri" w:cs="Times New Roman"/>
          <w:color w:val="000000"/>
          <w:lang w:eastAsia="nl-NL"/>
        </w:rPr>
        <w:t xml:space="preserve"> to be associated with a lower risk of dementia. </w:t>
      </w:r>
    </w:p>
    <w:p w14:paraId="1A186BEC" w14:textId="77777777" w:rsidR="00EC08C5" w:rsidRDefault="008A27DC" w:rsidP="00452705">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lastRenderedPageBreak/>
        <w:t>Regarding</w:t>
      </w:r>
      <w:r w:rsidR="00172A91">
        <w:rPr>
          <w:rFonts w:ascii="Calibri" w:eastAsia="Times New Roman" w:hAnsi="Calibri" w:cs="Times New Roman"/>
          <w:color w:val="000000"/>
          <w:lang w:eastAsia="nl-NL"/>
        </w:rPr>
        <w:t xml:space="preserve"> </w:t>
      </w:r>
      <w:r w:rsidR="000033B4">
        <w:rPr>
          <w:rFonts w:ascii="Calibri" w:eastAsia="Times New Roman" w:hAnsi="Calibri" w:cs="Times New Roman"/>
          <w:color w:val="000000"/>
          <w:lang w:eastAsia="nl-NL"/>
        </w:rPr>
        <w:t>our results</w:t>
      </w:r>
      <w:r w:rsidR="00172A91">
        <w:rPr>
          <w:rFonts w:ascii="Calibri" w:eastAsia="Times New Roman" w:hAnsi="Calibri" w:cs="Times New Roman"/>
          <w:color w:val="000000"/>
          <w:lang w:eastAsia="nl-NL"/>
        </w:rPr>
        <w:t>, although polypharmacy itself conveys risks, multiple AHD classes are likely predominantly markers of increased</w:t>
      </w:r>
      <w:r w:rsidR="008740CD">
        <w:rPr>
          <w:rFonts w:ascii="Calibri" w:eastAsia="Times New Roman" w:hAnsi="Calibri" w:cs="Times New Roman"/>
          <w:color w:val="000000"/>
          <w:lang w:eastAsia="nl-NL"/>
        </w:rPr>
        <w:t xml:space="preserve"> </w:t>
      </w:r>
      <w:r w:rsidR="000033B4">
        <w:rPr>
          <w:rFonts w:ascii="Calibri" w:eastAsia="Times New Roman" w:hAnsi="Calibri" w:cs="Times New Roman"/>
          <w:color w:val="000000"/>
          <w:lang w:eastAsia="nl-NL"/>
        </w:rPr>
        <w:t xml:space="preserve">mortality </w:t>
      </w:r>
      <w:r w:rsidR="00172A91">
        <w:rPr>
          <w:rFonts w:ascii="Calibri" w:eastAsia="Times New Roman" w:hAnsi="Calibri" w:cs="Times New Roman"/>
          <w:color w:val="000000"/>
          <w:lang w:eastAsia="nl-NL"/>
        </w:rPr>
        <w:t>risk rather than causal actors. The number of AHD classes is strongly related to hypertension severity and/or treatment resistance, as doses and the number of AHD are increased step-wise to achieve target blood pressure.</w:t>
      </w:r>
      <w:r w:rsidR="008740CD">
        <w:rPr>
          <w:rFonts w:ascii="Calibri" w:eastAsia="Times New Roman" w:hAnsi="Calibri" w:cs="Times New Roman"/>
          <w:color w:val="000000"/>
          <w:lang w:eastAsia="nl-NL"/>
        </w:rPr>
        <w:fldChar w:fldCharType="begin" w:fldLock="1"/>
      </w:r>
      <w:r w:rsidR="00452705">
        <w:rPr>
          <w:rFonts w:ascii="Calibri" w:eastAsia="Times New Roman" w:hAnsi="Calibri" w:cs="Times New Roman"/>
          <w:color w:val="000000"/>
          <w:lang w:eastAsia="nl-NL"/>
        </w:rPr>
        <w:instrText>ADDIN CSL_CITATION {"citationItems":[{"id":"ITEM-1","itemData":{"DOI":"10.1161/HYP.0000000000000065","ISBN":"0000000000000","ISSN":"0194-911X","PMID":"29133356","abstract":"This is a PDF-only article. The first page of the PDF of this article appears below.","author":[{"dropping-particle":"","family":"Whelton","given":"Paul K.","non-dropping-particle":"","parse-names":false,"suffix":""},{"dropping-particle":"","family":"Carey","given":"Robert M.","non-dropping-particle":"","parse-names":false,"suffix":""},{"dropping-particle":"","family":"Aronow","given":"Wilbert S.","non-dropping-particle":"","parse-names":false,"suffix":""},{"dropping-particle":"","family":"Casey","given":"Donald E.","non-dropping-particle":"","parse-names":false,"suffix":""},{"dropping-particle":"","family":"Collins","given":"Karen J.","non-dropping-particle":"","parse-names":false,"suffix":""},{"dropping-particle":"","family":"Dennison Himmelfarb","given":"Cheryl","non-dropping-particle":"","parse-names":false,"suffix":""},{"dropping-particle":"","family":"DePalma","given":"Sondra M.","non-dropping-particle":"","parse-names":false,"suffix":""},{"dropping-particle":"","family":"Gidding","given":"Samuel","non-dropping-particle":"","parse-names":false,"suffix":""},{"dropping-particle":"","family":"Jamerson","given":"Kenneth A.","non-dropping-particle":"","parse-names":false,"suffix":""},{"dropping-particle":"","family":"Jones","given":"Daniel W.","non-dropping-particle":"","parse-names":false,"suffix":""},{"dropping-particle":"","family":"MacLaughlin","given":"Eric J.","non-dropping-particle":"","parse-names":false,"suffix":""},{"dropping-particle":"","family":"Muntner","given":"Paul","non-dropping-particle":"","parse-names":false,"suffix":""},{"dropping-particle":"","family":"Ovbiagele","given":"Bruce","non-dropping-particle":"","parse-names":false,"suffix":""},{"dropping-particle":"","family":"Smith","given":"Sidney C.","non-dropping-particle":"","parse-names":false,"suffix":""},{"dropping-particle":"","family":"Spencer","given":"Crystal C.","non-dropping-particle":"","parse-names":false,"suffix":""},{"dropping-particle":"","family":"Stafford","given":"Randall S.","non-dropping-particle":"","parse-names":false,"suffix":""},{"dropping-particle":"","family":"Taler","given":"Sandra J.","non-dropping-particle":"","parse-names":false,"suffix":""},{"dropping-particle":"","family":"Thomas","given":"Randal J.","non-dropping-particle":"","parse-names":false,"suffix":""},{"dropping-particle":"","family":"Williams","given":"Kim A.","non-dropping-particle":"","parse-names":false,"suffix":""},{"dropping-particle":"","family":"Williamson","given":"Jeff D.","non-dropping-particle":"","parse-names":false,"suffix":""},{"dropping-particle":"","family":"Wright","given":"Jackson T.","non-dropping-particle":"","parse-names":false,"suffix":""}],"container-title":"Hypertension","id":"ITEM-1","issued":{"date-parts":[["2017"]]},"title":"2017 ACC/AHA/AAPA/ABC/ACPM/AGS/APhA/ASH/ASPC/NMA/PCNA Guideline for the Prevention, Detection, Evaluation, and Management of High Blood Pressure in Adults","type":"article-journal"},"uris":["http://www.mendeley.com/documents/?uuid=a49131ff-940a-4942-b9a6-55eaf84820b0"]}],"mendeley":{"formattedCitation":"&lt;sup&gt;6&lt;/sup&gt;","plainTextFormattedCitation":"6","previouslyFormattedCitation":"&lt;sup&gt;6&lt;/sup&gt;"},"properties":{"noteIndex":0},"schema":"https://github.com/citation-style-language/schema/raw/master/csl-citation.json"}</w:instrText>
      </w:r>
      <w:r w:rsidR="008740CD">
        <w:rPr>
          <w:rFonts w:ascii="Calibri" w:eastAsia="Times New Roman" w:hAnsi="Calibri" w:cs="Times New Roman"/>
          <w:color w:val="000000"/>
          <w:lang w:eastAsia="nl-NL"/>
        </w:rPr>
        <w:fldChar w:fldCharType="separate"/>
      </w:r>
      <w:r w:rsidR="008740CD" w:rsidRPr="008740CD">
        <w:rPr>
          <w:rFonts w:ascii="Calibri" w:eastAsia="Times New Roman" w:hAnsi="Calibri" w:cs="Times New Roman"/>
          <w:noProof/>
          <w:color w:val="000000"/>
          <w:vertAlign w:val="superscript"/>
          <w:lang w:eastAsia="nl-NL"/>
        </w:rPr>
        <w:t>6</w:t>
      </w:r>
      <w:r w:rsidR="008740CD">
        <w:rPr>
          <w:rFonts w:ascii="Calibri" w:eastAsia="Times New Roman" w:hAnsi="Calibri" w:cs="Times New Roman"/>
          <w:color w:val="000000"/>
          <w:lang w:eastAsia="nl-NL"/>
        </w:rPr>
        <w:fldChar w:fldCharType="end"/>
      </w:r>
      <w:r w:rsidR="00172A91">
        <w:rPr>
          <w:rFonts w:ascii="Calibri" w:eastAsia="Times New Roman" w:hAnsi="Calibri" w:cs="Times New Roman"/>
          <w:color w:val="000000"/>
          <w:lang w:eastAsia="nl-NL"/>
        </w:rPr>
        <w:t xml:space="preserve"> Such bias may also play a role </w:t>
      </w:r>
      <w:r w:rsidR="000033B4">
        <w:rPr>
          <w:rFonts w:ascii="Calibri" w:eastAsia="Times New Roman" w:hAnsi="Calibri" w:cs="Times New Roman"/>
          <w:color w:val="000000"/>
          <w:lang w:eastAsia="nl-NL"/>
        </w:rPr>
        <w:t>for specific</w:t>
      </w:r>
      <w:r w:rsidR="00172A91">
        <w:rPr>
          <w:rFonts w:ascii="Calibri" w:eastAsia="Times New Roman" w:hAnsi="Calibri" w:cs="Times New Roman"/>
          <w:color w:val="000000"/>
          <w:lang w:eastAsia="nl-NL"/>
        </w:rPr>
        <w:t xml:space="preserve"> AHD classes, as some will be more readily prescribed as first-line treatment of hypertension while others (e.g. ARBs and ACE-inhibitors) are </w:t>
      </w:r>
      <w:r w:rsidR="006F3189">
        <w:rPr>
          <w:rFonts w:ascii="Calibri" w:eastAsia="Times New Roman" w:hAnsi="Calibri" w:cs="Times New Roman"/>
          <w:color w:val="000000"/>
          <w:lang w:eastAsia="nl-NL"/>
        </w:rPr>
        <w:t xml:space="preserve">generally </w:t>
      </w:r>
      <w:r w:rsidR="00172A91">
        <w:rPr>
          <w:rFonts w:ascii="Calibri" w:eastAsia="Times New Roman" w:hAnsi="Calibri" w:cs="Times New Roman"/>
          <w:color w:val="000000"/>
          <w:lang w:eastAsia="nl-NL"/>
        </w:rPr>
        <w:t>added later or with particular comorbidity. However, the</w:t>
      </w:r>
      <w:r w:rsidR="006F3189">
        <w:rPr>
          <w:rFonts w:ascii="Calibri" w:eastAsia="Times New Roman" w:hAnsi="Calibri" w:cs="Times New Roman"/>
          <w:color w:val="000000"/>
          <w:lang w:eastAsia="nl-NL"/>
        </w:rPr>
        <w:t>se</w:t>
      </w:r>
      <w:r w:rsidR="00172A91">
        <w:rPr>
          <w:rFonts w:ascii="Calibri" w:eastAsia="Times New Roman" w:hAnsi="Calibri" w:cs="Times New Roman"/>
          <w:color w:val="000000"/>
          <w:lang w:eastAsia="nl-NL"/>
        </w:rPr>
        <w:t xml:space="preserve"> effects are likely less strong than those for the number of AHD.</w:t>
      </w:r>
    </w:p>
    <w:p w14:paraId="76842190" w14:textId="77777777" w:rsidR="00EC08C5" w:rsidRDefault="00EC08C5" w:rsidP="00452705">
      <w:pPr>
        <w:spacing w:after="0" w:line="240" w:lineRule="auto"/>
        <w:rPr>
          <w:rFonts w:ascii="Calibri" w:eastAsia="Times New Roman" w:hAnsi="Calibri" w:cs="Times New Roman"/>
          <w:color w:val="000000"/>
          <w:lang w:eastAsia="nl-NL"/>
        </w:rPr>
      </w:pPr>
    </w:p>
    <w:p w14:paraId="466060D4" w14:textId="46088C45" w:rsidR="00452705" w:rsidRDefault="008740CD" w:rsidP="00452705">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 conclusion</w:t>
      </w:r>
      <w:r w:rsidR="00172A91">
        <w:rPr>
          <w:rFonts w:ascii="Calibri" w:eastAsia="Times New Roman" w:hAnsi="Calibri" w:cs="Times New Roman"/>
          <w:color w:val="000000"/>
          <w:lang w:eastAsia="nl-NL"/>
        </w:rPr>
        <w:t xml:space="preserve">, </w:t>
      </w:r>
      <w:r w:rsidR="004A40CF">
        <w:rPr>
          <w:rFonts w:ascii="Calibri" w:eastAsia="Times New Roman" w:hAnsi="Calibri" w:cs="Times New Roman"/>
          <w:color w:val="000000"/>
          <w:lang w:eastAsia="nl-NL"/>
        </w:rPr>
        <w:t xml:space="preserve">although </w:t>
      </w:r>
      <w:r w:rsidR="00172A91">
        <w:rPr>
          <w:rFonts w:ascii="Calibri" w:eastAsia="Times New Roman" w:hAnsi="Calibri" w:cs="Times New Roman"/>
          <w:color w:val="000000"/>
          <w:lang w:eastAsia="nl-NL"/>
        </w:rPr>
        <w:t xml:space="preserve">we </w:t>
      </w:r>
      <w:r>
        <w:rPr>
          <w:rFonts w:ascii="Calibri" w:eastAsia="Times New Roman" w:hAnsi="Calibri" w:cs="Times New Roman"/>
          <w:color w:val="000000"/>
          <w:lang w:eastAsia="nl-NL"/>
        </w:rPr>
        <w:t xml:space="preserve">underline the </w:t>
      </w:r>
      <w:r w:rsidR="004A40CF">
        <w:rPr>
          <w:rFonts w:ascii="Calibri" w:eastAsia="Times New Roman" w:hAnsi="Calibri" w:cs="Times New Roman"/>
          <w:color w:val="000000"/>
          <w:lang w:eastAsia="nl-NL"/>
        </w:rPr>
        <w:t>relevance</w:t>
      </w:r>
      <w:r>
        <w:rPr>
          <w:rFonts w:ascii="Calibri" w:eastAsia="Times New Roman" w:hAnsi="Calibri" w:cs="Times New Roman"/>
          <w:color w:val="000000"/>
          <w:lang w:eastAsia="nl-NL"/>
        </w:rPr>
        <w:t xml:space="preserve"> of</w:t>
      </w:r>
      <w:r w:rsidR="004A40CF">
        <w:rPr>
          <w:rFonts w:ascii="Calibri" w:eastAsia="Times New Roman" w:hAnsi="Calibri" w:cs="Times New Roman"/>
          <w:color w:val="000000"/>
          <w:lang w:eastAsia="nl-NL"/>
        </w:rPr>
        <w:t xml:space="preserve"> the research by Tan et al.</w:t>
      </w:r>
      <w:r>
        <w:rPr>
          <w:rFonts w:ascii="Calibri" w:eastAsia="Times New Roman" w:hAnsi="Calibri" w:cs="Times New Roman"/>
          <w:color w:val="000000"/>
          <w:lang w:eastAsia="nl-NL"/>
        </w:rPr>
        <w:t xml:space="preserve"> on the differential relation between AHD classes and dementia risk,</w:t>
      </w:r>
      <w:r w:rsidR="00172A91">
        <w:rPr>
          <w:rFonts w:ascii="Calibri" w:eastAsia="Times New Roman" w:hAnsi="Calibri" w:cs="Times New Roman"/>
          <w:color w:val="000000"/>
          <w:lang w:eastAsia="nl-NL"/>
        </w:rPr>
        <w:t xml:space="preserve"> we </w:t>
      </w:r>
      <w:r w:rsidR="00C97469">
        <w:rPr>
          <w:rFonts w:ascii="Calibri" w:eastAsia="Times New Roman" w:hAnsi="Calibri" w:cs="Times New Roman"/>
          <w:color w:val="000000"/>
          <w:lang w:eastAsia="nl-NL"/>
        </w:rPr>
        <w:t>feel</w:t>
      </w:r>
      <w:r w:rsidR="00172A91">
        <w:rPr>
          <w:rFonts w:ascii="Calibri" w:eastAsia="Times New Roman" w:hAnsi="Calibri" w:cs="Times New Roman"/>
          <w:color w:val="000000"/>
          <w:lang w:eastAsia="nl-NL"/>
        </w:rPr>
        <w:t xml:space="preserve"> additional information regarding mortality risk </w:t>
      </w:r>
      <w:r>
        <w:rPr>
          <w:rFonts w:ascii="Calibri" w:eastAsia="Times New Roman" w:hAnsi="Calibri" w:cs="Times New Roman"/>
          <w:color w:val="000000"/>
          <w:lang w:eastAsia="nl-NL"/>
        </w:rPr>
        <w:t>is essential to</w:t>
      </w:r>
      <w:r w:rsidR="00C97469">
        <w:rPr>
          <w:rFonts w:ascii="Calibri" w:eastAsia="Times New Roman" w:hAnsi="Calibri" w:cs="Times New Roman"/>
          <w:color w:val="000000"/>
          <w:lang w:eastAsia="nl-NL"/>
        </w:rPr>
        <w:t xml:space="preserve"> allow</w:t>
      </w:r>
      <w:r w:rsidR="006F3189">
        <w:rPr>
          <w:rFonts w:ascii="Calibri" w:eastAsia="Times New Roman" w:hAnsi="Calibri" w:cs="Times New Roman"/>
          <w:color w:val="000000"/>
          <w:lang w:eastAsia="nl-NL"/>
        </w:rPr>
        <w:t xml:space="preserve"> for</w:t>
      </w:r>
      <w:r w:rsidR="00172A91">
        <w:rPr>
          <w:rFonts w:ascii="Calibri" w:eastAsia="Times New Roman" w:hAnsi="Calibri" w:cs="Times New Roman"/>
          <w:color w:val="000000"/>
          <w:lang w:eastAsia="nl-NL"/>
        </w:rPr>
        <w:t xml:space="preserve"> meaningful interpretation</w:t>
      </w:r>
      <w:r w:rsidR="00714A73">
        <w:rPr>
          <w:rFonts w:ascii="Calibri" w:eastAsia="Times New Roman" w:hAnsi="Calibri" w:cs="Times New Roman"/>
          <w:color w:val="000000"/>
          <w:lang w:eastAsia="nl-NL"/>
        </w:rPr>
        <w:t xml:space="preserve"> of the results</w:t>
      </w:r>
      <w:r w:rsidR="00172A91">
        <w:rPr>
          <w:rFonts w:ascii="Calibri" w:eastAsia="Times New Roman" w:hAnsi="Calibri" w:cs="Times New Roman"/>
          <w:color w:val="000000"/>
          <w:lang w:eastAsia="nl-NL"/>
        </w:rPr>
        <w:t>.</w:t>
      </w:r>
    </w:p>
    <w:p w14:paraId="3CE307D7" w14:textId="31A4D833" w:rsidR="00452705" w:rsidRDefault="00452705">
      <w:pPr>
        <w:rPr>
          <w:rFonts w:ascii="Calibri" w:eastAsia="Times New Roman" w:hAnsi="Calibri" w:cs="Times New Roman"/>
          <w:color w:val="000000"/>
          <w:lang w:eastAsia="nl-NL"/>
        </w:rPr>
      </w:pPr>
    </w:p>
    <w:p w14:paraId="268265B4" w14:textId="1F8F1BF1" w:rsidR="006C6BB5" w:rsidRDefault="00452705" w:rsidP="00452705">
      <w:pPr>
        <w:spacing w:after="0" w:line="240" w:lineRule="auto"/>
      </w:pPr>
      <w:r>
        <w:rPr>
          <w:rFonts w:ascii="Calibri" w:eastAsia="Times New Roman" w:hAnsi="Calibri" w:cs="Times New Roman"/>
          <w:b/>
          <w:color w:val="000000"/>
          <w:lang w:eastAsia="nl-NL"/>
        </w:rPr>
        <w:t>References:</w:t>
      </w:r>
    </w:p>
    <w:p w14:paraId="43990C4D" w14:textId="6A23AFA0" w:rsidR="00452705" w:rsidRPr="00452705" w:rsidRDefault="00452705" w:rsidP="00452705">
      <w:pPr>
        <w:widowControl w:val="0"/>
        <w:autoSpaceDE w:val="0"/>
        <w:autoSpaceDN w:val="0"/>
        <w:adjustRightInd w:val="0"/>
        <w:spacing w:after="0"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Pr="00452705">
        <w:rPr>
          <w:rFonts w:ascii="Calibri" w:hAnsi="Calibri" w:cs="Times New Roman"/>
          <w:noProof/>
          <w:szCs w:val="24"/>
        </w:rPr>
        <w:t xml:space="preserve">1. </w:t>
      </w:r>
      <w:r w:rsidRPr="00452705">
        <w:rPr>
          <w:rFonts w:ascii="Calibri" w:hAnsi="Calibri" w:cs="Times New Roman"/>
          <w:noProof/>
          <w:szCs w:val="24"/>
        </w:rPr>
        <w:tab/>
        <w:t xml:space="preserve">Tan ECK, Qiu C, Liang Y, et al. Antihypertensive Medication Regimen Intensity and Incident Dementia in an Older Population. </w:t>
      </w:r>
      <w:r w:rsidRPr="00452705">
        <w:rPr>
          <w:rFonts w:ascii="Calibri" w:hAnsi="Calibri" w:cs="Times New Roman"/>
          <w:i/>
          <w:iCs/>
          <w:noProof/>
          <w:szCs w:val="24"/>
        </w:rPr>
        <w:t>J Am Med Dir Assoc</w:t>
      </w:r>
      <w:r w:rsidRPr="00452705">
        <w:rPr>
          <w:rFonts w:ascii="Calibri" w:hAnsi="Calibri" w:cs="Times New Roman"/>
          <w:noProof/>
          <w:szCs w:val="24"/>
        </w:rPr>
        <w:t>. 2018. doi:https://doi.org/10.1016/j.jamda.2017.11.017.</w:t>
      </w:r>
    </w:p>
    <w:p w14:paraId="6179CD4C" w14:textId="77777777" w:rsidR="00452705" w:rsidRPr="009B641A" w:rsidRDefault="00452705" w:rsidP="00452705">
      <w:pPr>
        <w:widowControl w:val="0"/>
        <w:autoSpaceDE w:val="0"/>
        <w:autoSpaceDN w:val="0"/>
        <w:adjustRightInd w:val="0"/>
        <w:spacing w:after="0" w:line="240" w:lineRule="auto"/>
        <w:ind w:left="640" w:hanging="640"/>
        <w:rPr>
          <w:rFonts w:ascii="Calibri" w:hAnsi="Calibri" w:cs="Times New Roman"/>
          <w:noProof/>
          <w:szCs w:val="24"/>
          <w:lang w:val="nl-NL"/>
        </w:rPr>
      </w:pPr>
      <w:r w:rsidRPr="00452705">
        <w:rPr>
          <w:rFonts w:ascii="Calibri" w:hAnsi="Calibri" w:cs="Times New Roman"/>
          <w:noProof/>
          <w:szCs w:val="24"/>
        </w:rPr>
        <w:t xml:space="preserve">2. </w:t>
      </w:r>
      <w:r w:rsidRPr="00452705">
        <w:rPr>
          <w:rFonts w:ascii="Calibri" w:hAnsi="Calibri" w:cs="Times New Roman"/>
          <w:noProof/>
          <w:szCs w:val="24"/>
        </w:rPr>
        <w:tab/>
        <w:t xml:space="preserve">Fine JP, Gray RJ. A Proportional Hazards Model for the Subdistribution of a Competing Risk. </w:t>
      </w:r>
      <w:r w:rsidRPr="009B641A">
        <w:rPr>
          <w:rFonts w:ascii="Calibri" w:hAnsi="Calibri" w:cs="Times New Roman"/>
          <w:i/>
          <w:iCs/>
          <w:noProof/>
          <w:szCs w:val="24"/>
          <w:lang w:val="nl-NL"/>
        </w:rPr>
        <w:t>J Am Stat Assoc</w:t>
      </w:r>
      <w:r w:rsidRPr="009B641A">
        <w:rPr>
          <w:rFonts w:ascii="Calibri" w:hAnsi="Calibri" w:cs="Times New Roman"/>
          <w:noProof/>
          <w:szCs w:val="24"/>
          <w:lang w:val="nl-NL"/>
        </w:rPr>
        <w:t>. 1999. doi:10.1080/01621459.1999.10474144.</w:t>
      </w:r>
    </w:p>
    <w:p w14:paraId="18C5C8F5" w14:textId="77777777" w:rsidR="00452705" w:rsidRPr="00452705" w:rsidRDefault="00452705" w:rsidP="00452705">
      <w:pPr>
        <w:widowControl w:val="0"/>
        <w:autoSpaceDE w:val="0"/>
        <w:autoSpaceDN w:val="0"/>
        <w:adjustRightInd w:val="0"/>
        <w:spacing w:after="0" w:line="240" w:lineRule="auto"/>
        <w:ind w:left="640" w:hanging="640"/>
        <w:rPr>
          <w:rFonts w:ascii="Calibri" w:hAnsi="Calibri" w:cs="Times New Roman"/>
          <w:noProof/>
          <w:szCs w:val="24"/>
        </w:rPr>
      </w:pPr>
      <w:r w:rsidRPr="009B641A">
        <w:rPr>
          <w:rFonts w:ascii="Calibri" w:hAnsi="Calibri" w:cs="Times New Roman"/>
          <w:noProof/>
          <w:szCs w:val="24"/>
          <w:lang w:val="nl-NL"/>
        </w:rPr>
        <w:t xml:space="preserve">3. </w:t>
      </w:r>
      <w:r w:rsidRPr="009B641A">
        <w:rPr>
          <w:rFonts w:ascii="Calibri" w:hAnsi="Calibri" w:cs="Times New Roman"/>
          <w:noProof/>
          <w:szCs w:val="24"/>
          <w:lang w:val="nl-NL"/>
        </w:rPr>
        <w:tab/>
        <w:t xml:space="preserve">Van Middelaar T, Van Vught LA, Van Charante EPM, et al. </w:t>
      </w:r>
      <w:r w:rsidRPr="00452705">
        <w:rPr>
          <w:rFonts w:ascii="Calibri" w:hAnsi="Calibri" w:cs="Times New Roman"/>
          <w:noProof/>
          <w:szCs w:val="24"/>
        </w:rPr>
        <w:t xml:space="preserve">Lower dementia risk with different classes of antihypertensive medication in older patients. </w:t>
      </w:r>
      <w:r w:rsidRPr="00452705">
        <w:rPr>
          <w:rFonts w:ascii="Calibri" w:hAnsi="Calibri" w:cs="Times New Roman"/>
          <w:i/>
          <w:iCs/>
          <w:noProof/>
          <w:szCs w:val="24"/>
        </w:rPr>
        <w:t>J Hypertens</w:t>
      </w:r>
      <w:r w:rsidRPr="00452705">
        <w:rPr>
          <w:rFonts w:ascii="Calibri" w:hAnsi="Calibri" w:cs="Times New Roman"/>
          <w:noProof/>
          <w:szCs w:val="24"/>
        </w:rPr>
        <w:t>. 2017;35(10). doi:10.1097/HJH.0000000000001411.</w:t>
      </w:r>
    </w:p>
    <w:p w14:paraId="76BB2B81" w14:textId="77777777" w:rsidR="00452705" w:rsidRPr="00452705" w:rsidRDefault="00452705" w:rsidP="00452705">
      <w:pPr>
        <w:widowControl w:val="0"/>
        <w:autoSpaceDE w:val="0"/>
        <w:autoSpaceDN w:val="0"/>
        <w:adjustRightInd w:val="0"/>
        <w:spacing w:after="0" w:line="240" w:lineRule="auto"/>
        <w:ind w:left="640" w:hanging="640"/>
        <w:rPr>
          <w:rFonts w:ascii="Calibri" w:hAnsi="Calibri" w:cs="Times New Roman"/>
          <w:noProof/>
          <w:szCs w:val="24"/>
        </w:rPr>
      </w:pPr>
      <w:r w:rsidRPr="00452705">
        <w:rPr>
          <w:rFonts w:ascii="Calibri" w:hAnsi="Calibri" w:cs="Times New Roman"/>
          <w:noProof/>
          <w:szCs w:val="24"/>
        </w:rPr>
        <w:t xml:space="preserve">4. </w:t>
      </w:r>
      <w:r w:rsidRPr="00452705">
        <w:rPr>
          <w:rFonts w:ascii="Calibri" w:hAnsi="Calibri" w:cs="Times New Roman"/>
          <w:noProof/>
          <w:szCs w:val="24"/>
        </w:rPr>
        <w:tab/>
        <w:t xml:space="preserve">Austin PC, Fine JP. Practical recommendations for reporting Fine-Gray model analyses for competing risk data. </w:t>
      </w:r>
      <w:r w:rsidRPr="00452705">
        <w:rPr>
          <w:rFonts w:ascii="Calibri" w:hAnsi="Calibri" w:cs="Times New Roman"/>
          <w:i/>
          <w:iCs/>
          <w:noProof/>
          <w:szCs w:val="24"/>
        </w:rPr>
        <w:t>Stat Med</w:t>
      </w:r>
      <w:r w:rsidRPr="00452705">
        <w:rPr>
          <w:rFonts w:ascii="Calibri" w:hAnsi="Calibri" w:cs="Times New Roman"/>
          <w:noProof/>
          <w:szCs w:val="24"/>
        </w:rPr>
        <w:t>. 2017. doi:10.1002/sim.7501.</w:t>
      </w:r>
    </w:p>
    <w:p w14:paraId="0580DF2A" w14:textId="77777777" w:rsidR="00452705" w:rsidRPr="00452705" w:rsidRDefault="00452705" w:rsidP="00452705">
      <w:pPr>
        <w:widowControl w:val="0"/>
        <w:autoSpaceDE w:val="0"/>
        <w:autoSpaceDN w:val="0"/>
        <w:adjustRightInd w:val="0"/>
        <w:spacing w:after="0" w:line="240" w:lineRule="auto"/>
        <w:ind w:left="640" w:hanging="640"/>
        <w:rPr>
          <w:rFonts w:ascii="Calibri" w:hAnsi="Calibri" w:cs="Times New Roman"/>
          <w:noProof/>
          <w:szCs w:val="24"/>
        </w:rPr>
      </w:pPr>
      <w:r w:rsidRPr="00452705">
        <w:rPr>
          <w:rFonts w:ascii="Calibri" w:hAnsi="Calibri" w:cs="Times New Roman"/>
          <w:noProof/>
          <w:szCs w:val="24"/>
        </w:rPr>
        <w:t xml:space="preserve">5. </w:t>
      </w:r>
      <w:r w:rsidRPr="00452705">
        <w:rPr>
          <w:rFonts w:ascii="Calibri" w:hAnsi="Calibri" w:cs="Times New Roman"/>
          <w:noProof/>
          <w:szCs w:val="24"/>
        </w:rPr>
        <w:tab/>
        <w:t xml:space="preserve">Wolkewitz M, Cooper BS, Bonten MJM, Barnett AG, Schumacher M. Interpreting and comparing risks in the presence of competing events. </w:t>
      </w:r>
      <w:r w:rsidRPr="00452705">
        <w:rPr>
          <w:rFonts w:ascii="Calibri" w:hAnsi="Calibri" w:cs="Times New Roman"/>
          <w:i/>
          <w:iCs/>
          <w:noProof/>
          <w:szCs w:val="24"/>
        </w:rPr>
        <w:t>BMJ</w:t>
      </w:r>
      <w:r w:rsidRPr="00452705">
        <w:rPr>
          <w:rFonts w:ascii="Calibri" w:hAnsi="Calibri" w:cs="Times New Roman"/>
          <w:noProof/>
          <w:szCs w:val="24"/>
        </w:rPr>
        <w:t>. 2014. doi:10.1136/bmj.g5060.</w:t>
      </w:r>
    </w:p>
    <w:p w14:paraId="3BFE05EE" w14:textId="77777777" w:rsidR="00452705" w:rsidRPr="00452705" w:rsidRDefault="00452705" w:rsidP="00452705">
      <w:pPr>
        <w:widowControl w:val="0"/>
        <w:autoSpaceDE w:val="0"/>
        <w:autoSpaceDN w:val="0"/>
        <w:adjustRightInd w:val="0"/>
        <w:spacing w:after="0" w:line="240" w:lineRule="auto"/>
        <w:ind w:left="640" w:hanging="640"/>
        <w:rPr>
          <w:rFonts w:ascii="Calibri" w:hAnsi="Calibri"/>
          <w:noProof/>
        </w:rPr>
      </w:pPr>
      <w:r w:rsidRPr="00452705">
        <w:rPr>
          <w:rFonts w:ascii="Calibri" w:hAnsi="Calibri" w:cs="Times New Roman"/>
          <w:noProof/>
          <w:szCs w:val="24"/>
        </w:rPr>
        <w:t xml:space="preserve">6. </w:t>
      </w:r>
      <w:r w:rsidRPr="00452705">
        <w:rPr>
          <w:rFonts w:ascii="Calibri" w:hAnsi="Calibri" w:cs="Times New Roman"/>
          <w:noProof/>
          <w:szCs w:val="24"/>
        </w:rPr>
        <w:tab/>
        <w:t xml:space="preserve">Whelton PK, Carey RM, Aronow WS, et al. 2017 ACC/AHA/AAPA/ABC/ACPM/AGS/APhA/ASH/ASPC/NMA/PCNA Guideline for the Prevention, Detection, Evaluation, and Management of High Blood Pressure in Adults. </w:t>
      </w:r>
      <w:r w:rsidRPr="00452705">
        <w:rPr>
          <w:rFonts w:ascii="Calibri" w:hAnsi="Calibri" w:cs="Times New Roman"/>
          <w:i/>
          <w:iCs/>
          <w:noProof/>
          <w:szCs w:val="24"/>
        </w:rPr>
        <w:t>Hypertension</w:t>
      </w:r>
      <w:r w:rsidRPr="00452705">
        <w:rPr>
          <w:rFonts w:ascii="Calibri" w:hAnsi="Calibri" w:cs="Times New Roman"/>
          <w:noProof/>
          <w:szCs w:val="24"/>
        </w:rPr>
        <w:t>. 2017. doi:10.1161/HYP.0000000000000065.</w:t>
      </w:r>
    </w:p>
    <w:p w14:paraId="502FB707" w14:textId="1C06EC7A" w:rsidR="00452705" w:rsidRDefault="00452705" w:rsidP="00452705">
      <w:pPr>
        <w:spacing w:after="0" w:line="240" w:lineRule="auto"/>
      </w:pPr>
      <w:r>
        <w:fldChar w:fldCharType="end"/>
      </w:r>
    </w:p>
    <w:p w14:paraId="16EA20AC" w14:textId="77777777" w:rsidR="000E66DE" w:rsidRDefault="000E66DE" w:rsidP="00452705">
      <w:pPr>
        <w:spacing w:after="0" w:line="240" w:lineRule="auto"/>
        <w:sectPr w:rsidR="000E66DE">
          <w:pgSz w:w="11906" w:h="16838"/>
          <w:pgMar w:top="1417" w:right="1417" w:bottom="1417" w:left="1417" w:header="708" w:footer="708" w:gutter="0"/>
          <w:cols w:space="708"/>
          <w:docGrid w:linePitch="360"/>
        </w:sectPr>
      </w:pPr>
    </w:p>
    <w:tbl>
      <w:tblPr>
        <w:tblW w:w="5001" w:type="pct"/>
        <w:tblCellMar>
          <w:left w:w="70" w:type="dxa"/>
          <w:right w:w="70" w:type="dxa"/>
        </w:tblCellMar>
        <w:tblLook w:val="04A0" w:firstRow="1" w:lastRow="0" w:firstColumn="1" w:lastColumn="0" w:noHBand="0" w:noVBand="1"/>
      </w:tblPr>
      <w:tblGrid>
        <w:gridCol w:w="2173"/>
        <w:gridCol w:w="570"/>
        <w:gridCol w:w="1512"/>
        <w:gridCol w:w="584"/>
        <w:gridCol w:w="344"/>
        <w:gridCol w:w="532"/>
        <w:gridCol w:w="1516"/>
        <w:gridCol w:w="532"/>
        <w:gridCol w:w="333"/>
        <w:gridCol w:w="577"/>
        <w:gridCol w:w="1518"/>
        <w:gridCol w:w="644"/>
        <w:gridCol w:w="375"/>
        <w:gridCol w:w="577"/>
        <w:gridCol w:w="1521"/>
        <w:gridCol w:w="692"/>
        <w:gridCol w:w="7"/>
      </w:tblGrid>
      <w:tr w:rsidR="000E66DE" w:rsidRPr="001A389A" w14:paraId="36EC192D" w14:textId="77777777" w:rsidTr="00A67E1F">
        <w:trPr>
          <w:trHeight w:val="300"/>
        </w:trPr>
        <w:tc>
          <w:tcPr>
            <w:tcW w:w="776" w:type="pct"/>
            <w:tcBorders>
              <w:top w:val="nil"/>
              <w:left w:val="nil"/>
              <w:bottom w:val="nil"/>
              <w:right w:val="nil"/>
            </w:tcBorders>
            <w:shd w:val="clear" w:color="auto" w:fill="auto"/>
            <w:noWrap/>
            <w:vAlign w:val="bottom"/>
          </w:tcPr>
          <w:p w14:paraId="590359F4" w14:textId="77777777" w:rsidR="000E66DE" w:rsidRPr="009155BD" w:rsidRDefault="000E66DE" w:rsidP="00A67E1F">
            <w:pPr>
              <w:spacing w:after="0" w:line="240" w:lineRule="auto"/>
              <w:rPr>
                <w:rFonts w:ascii="Calibri" w:eastAsia="Times New Roman" w:hAnsi="Calibri" w:cs="Times New Roman"/>
                <w:b/>
                <w:color w:val="000000"/>
                <w:lang w:eastAsia="nl-NL"/>
              </w:rPr>
            </w:pPr>
          </w:p>
        </w:tc>
        <w:tc>
          <w:tcPr>
            <w:tcW w:w="953" w:type="pct"/>
            <w:gridSpan w:val="3"/>
            <w:tcBorders>
              <w:top w:val="nil"/>
              <w:left w:val="nil"/>
              <w:bottom w:val="nil"/>
              <w:right w:val="nil"/>
            </w:tcBorders>
            <w:shd w:val="clear" w:color="auto" w:fill="auto"/>
            <w:noWrap/>
            <w:vAlign w:val="bottom"/>
          </w:tcPr>
          <w:p w14:paraId="709ED44F" w14:textId="77777777" w:rsidR="000E66DE" w:rsidRDefault="000E66DE" w:rsidP="00A67E1F">
            <w:pPr>
              <w:spacing w:after="0" w:line="240" w:lineRule="auto"/>
              <w:jc w:val="center"/>
              <w:rPr>
                <w:rFonts w:ascii="Calibri" w:eastAsia="Times New Roman" w:hAnsi="Calibri" w:cs="Times New Roman"/>
                <w:b/>
                <w:color w:val="000000"/>
                <w:lang w:eastAsia="nl-NL"/>
              </w:rPr>
            </w:pPr>
            <w:r>
              <w:rPr>
                <w:rFonts w:ascii="Calibri" w:eastAsia="Times New Roman" w:hAnsi="Calibri" w:cs="Times New Roman"/>
                <w:b/>
                <w:color w:val="000000"/>
                <w:lang w:eastAsia="nl-NL"/>
              </w:rPr>
              <w:t>Dementia</w:t>
            </w:r>
          </w:p>
          <w:p w14:paraId="1843BF68"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Pr>
                <w:rFonts w:ascii="Calibri" w:eastAsia="Times New Roman" w:hAnsi="Calibri" w:cs="Times New Roman"/>
                <w:b/>
                <w:color w:val="000000"/>
                <w:lang w:eastAsia="nl-NL"/>
              </w:rPr>
              <w:t>(n</w:t>
            </w:r>
            <w:r w:rsidRPr="009155BD">
              <w:rPr>
                <w:rFonts w:ascii="Calibri" w:eastAsia="Times New Roman" w:hAnsi="Calibri" w:cs="Times New Roman"/>
                <w:b/>
                <w:color w:val="000000"/>
                <w:lang w:eastAsia="nl-NL"/>
              </w:rPr>
              <w:t>=21</w:t>
            </w:r>
            <w:r>
              <w:rPr>
                <w:rFonts w:ascii="Calibri" w:eastAsia="Times New Roman" w:hAnsi="Calibri" w:cs="Times New Roman"/>
                <w:b/>
                <w:color w:val="000000"/>
                <w:lang w:eastAsia="nl-NL"/>
              </w:rPr>
              <w:t>7</w:t>
            </w:r>
            <w:r w:rsidRPr="009155BD">
              <w:rPr>
                <w:rFonts w:ascii="Calibri" w:eastAsia="Times New Roman" w:hAnsi="Calibri" w:cs="Times New Roman"/>
                <w:b/>
                <w:color w:val="000000"/>
                <w:lang w:eastAsia="nl-NL"/>
              </w:rPr>
              <w:t>/3</w:t>
            </w:r>
            <w:r>
              <w:rPr>
                <w:rFonts w:ascii="Calibri" w:eastAsia="Times New Roman" w:hAnsi="Calibri" w:cs="Times New Roman"/>
                <w:b/>
                <w:color w:val="000000"/>
                <w:lang w:eastAsia="nl-NL"/>
              </w:rPr>
              <w:t>,</w:t>
            </w:r>
            <w:r w:rsidRPr="009155BD">
              <w:rPr>
                <w:rFonts w:ascii="Calibri" w:eastAsia="Times New Roman" w:hAnsi="Calibri" w:cs="Times New Roman"/>
                <w:b/>
                <w:color w:val="000000"/>
                <w:lang w:eastAsia="nl-NL"/>
              </w:rPr>
              <w:t>2</w:t>
            </w:r>
            <w:r>
              <w:rPr>
                <w:rFonts w:ascii="Calibri" w:eastAsia="Times New Roman" w:hAnsi="Calibri" w:cs="Times New Roman"/>
                <w:b/>
                <w:color w:val="000000"/>
                <w:lang w:eastAsia="nl-NL"/>
              </w:rPr>
              <w:t>7</w:t>
            </w:r>
            <w:r w:rsidRPr="009155BD">
              <w:rPr>
                <w:rFonts w:ascii="Calibri" w:eastAsia="Times New Roman" w:hAnsi="Calibri" w:cs="Times New Roman"/>
                <w:b/>
                <w:color w:val="000000"/>
                <w:lang w:eastAsia="nl-NL"/>
              </w:rPr>
              <w:t>8</w:t>
            </w:r>
            <w:r>
              <w:rPr>
                <w:rFonts w:ascii="Calibri" w:eastAsia="Times New Roman" w:hAnsi="Calibri" w:cs="Times New Roman"/>
                <w:b/>
                <w:color w:val="000000"/>
                <w:lang w:eastAsia="nl-NL"/>
              </w:rPr>
              <w:t>)</w:t>
            </w:r>
          </w:p>
        </w:tc>
        <w:tc>
          <w:tcPr>
            <w:tcW w:w="123" w:type="pct"/>
            <w:tcBorders>
              <w:top w:val="nil"/>
              <w:left w:val="nil"/>
              <w:bottom w:val="nil"/>
              <w:right w:val="nil"/>
            </w:tcBorders>
          </w:tcPr>
          <w:p w14:paraId="7A12B10D"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p>
        </w:tc>
        <w:tc>
          <w:tcPr>
            <w:tcW w:w="921" w:type="pct"/>
            <w:gridSpan w:val="3"/>
            <w:tcBorders>
              <w:top w:val="nil"/>
              <w:left w:val="nil"/>
              <w:bottom w:val="nil"/>
              <w:right w:val="nil"/>
            </w:tcBorders>
            <w:shd w:val="clear" w:color="auto" w:fill="auto"/>
            <w:noWrap/>
            <w:vAlign w:val="bottom"/>
          </w:tcPr>
          <w:p w14:paraId="3A1F295F" w14:textId="77777777" w:rsidR="000E66DE" w:rsidRPr="00B10D15" w:rsidRDefault="000E66DE" w:rsidP="00A67E1F">
            <w:pPr>
              <w:spacing w:after="0" w:line="240" w:lineRule="auto"/>
              <w:jc w:val="center"/>
              <w:rPr>
                <w:rFonts w:ascii="Calibri" w:eastAsia="Times New Roman" w:hAnsi="Calibri" w:cs="Times New Roman"/>
                <w:b/>
                <w:color w:val="000000"/>
                <w:lang w:eastAsia="nl-NL"/>
              </w:rPr>
            </w:pPr>
            <w:r w:rsidRPr="00B10D15">
              <w:rPr>
                <w:rFonts w:ascii="Calibri" w:eastAsia="Times New Roman" w:hAnsi="Calibri" w:cs="Times New Roman"/>
                <w:b/>
                <w:color w:val="000000"/>
                <w:lang w:eastAsia="nl-NL"/>
              </w:rPr>
              <w:t>Dementia competing risk</w:t>
            </w:r>
          </w:p>
          <w:p w14:paraId="5882FFD8" w14:textId="77777777" w:rsidR="000E66DE" w:rsidRPr="00B10D15" w:rsidRDefault="000E66DE" w:rsidP="00A67E1F">
            <w:pPr>
              <w:spacing w:after="0" w:line="240" w:lineRule="auto"/>
              <w:jc w:val="center"/>
              <w:rPr>
                <w:rFonts w:ascii="Calibri" w:eastAsia="Times New Roman" w:hAnsi="Calibri" w:cs="Times New Roman"/>
                <w:b/>
                <w:color w:val="000000"/>
                <w:lang w:eastAsia="nl-NL"/>
              </w:rPr>
            </w:pPr>
            <w:r w:rsidRPr="00B10D15">
              <w:rPr>
                <w:rFonts w:ascii="Calibri" w:eastAsia="Times New Roman" w:hAnsi="Calibri" w:cs="Times New Roman"/>
                <w:b/>
                <w:color w:val="000000"/>
                <w:lang w:eastAsia="nl-NL"/>
              </w:rPr>
              <w:t>(</w:t>
            </w:r>
            <w:r>
              <w:rPr>
                <w:rFonts w:ascii="Calibri" w:eastAsia="Times New Roman" w:hAnsi="Calibri" w:cs="Times New Roman"/>
                <w:b/>
                <w:color w:val="000000"/>
                <w:lang w:eastAsia="nl-NL"/>
              </w:rPr>
              <w:t>n</w:t>
            </w:r>
            <w:r w:rsidRPr="009155BD">
              <w:rPr>
                <w:rFonts w:ascii="Calibri" w:eastAsia="Times New Roman" w:hAnsi="Calibri" w:cs="Times New Roman"/>
                <w:b/>
                <w:color w:val="000000"/>
                <w:lang w:eastAsia="nl-NL"/>
              </w:rPr>
              <w:t>=21</w:t>
            </w:r>
            <w:r>
              <w:rPr>
                <w:rFonts w:ascii="Calibri" w:eastAsia="Times New Roman" w:hAnsi="Calibri" w:cs="Times New Roman"/>
                <w:b/>
                <w:color w:val="000000"/>
                <w:lang w:eastAsia="nl-NL"/>
              </w:rPr>
              <w:t>7</w:t>
            </w:r>
            <w:r w:rsidRPr="009155BD">
              <w:rPr>
                <w:rFonts w:ascii="Calibri" w:eastAsia="Times New Roman" w:hAnsi="Calibri" w:cs="Times New Roman"/>
                <w:b/>
                <w:color w:val="000000"/>
                <w:lang w:eastAsia="nl-NL"/>
              </w:rPr>
              <w:t>/3</w:t>
            </w:r>
            <w:r>
              <w:rPr>
                <w:rFonts w:ascii="Calibri" w:eastAsia="Times New Roman" w:hAnsi="Calibri" w:cs="Times New Roman"/>
                <w:b/>
                <w:color w:val="000000"/>
                <w:lang w:eastAsia="nl-NL"/>
              </w:rPr>
              <w:t>,</w:t>
            </w:r>
            <w:r w:rsidRPr="009155BD">
              <w:rPr>
                <w:rFonts w:ascii="Calibri" w:eastAsia="Times New Roman" w:hAnsi="Calibri" w:cs="Times New Roman"/>
                <w:b/>
                <w:color w:val="000000"/>
                <w:lang w:eastAsia="nl-NL"/>
              </w:rPr>
              <w:t>2</w:t>
            </w:r>
            <w:r>
              <w:rPr>
                <w:rFonts w:ascii="Calibri" w:eastAsia="Times New Roman" w:hAnsi="Calibri" w:cs="Times New Roman"/>
                <w:b/>
                <w:color w:val="000000"/>
                <w:lang w:eastAsia="nl-NL"/>
              </w:rPr>
              <w:t>7</w:t>
            </w:r>
            <w:r w:rsidRPr="009155BD">
              <w:rPr>
                <w:rFonts w:ascii="Calibri" w:eastAsia="Times New Roman" w:hAnsi="Calibri" w:cs="Times New Roman"/>
                <w:b/>
                <w:color w:val="000000"/>
                <w:lang w:eastAsia="nl-NL"/>
              </w:rPr>
              <w:t>8</w:t>
            </w:r>
            <w:r w:rsidRPr="00B10D15">
              <w:rPr>
                <w:rFonts w:ascii="Calibri" w:eastAsia="Times New Roman" w:hAnsi="Calibri" w:cs="Times New Roman"/>
                <w:b/>
                <w:color w:val="000000"/>
                <w:lang w:eastAsia="nl-NL"/>
              </w:rPr>
              <w:t>)</w:t>
            </w:r>
          </w:p>
        </w:tc>
        <w:tc>
          <w:tcPr>
            <w:tcW w:w="119" w:type="pct"/>
            <w:tcBorders>
              <w:top w:val="nil"/>
              <w:left w:val="nil"/>
              <w:bottom w:val="nil"/>
              <w:right w:val="nil"/>
            </w:tcBorders>
          </w:tcPr>
          <w:p w14:paraId="349DF59C" w14:textId="77777777" w:rsidR="000E66DE" w:rsidRPr="00B10D15" w:rsidRDefault="000E66DE" w:rsidP="00A67E1F">
            <w:pPr>
              <w:spacing w:after="0" w:line="240" w:lineRule="auto"/>
              <w:jc w:val="center"/>
              <w:rPr>
                <w:rFonts w:ascii="Calibri" w:eastAsia="Times New Roman" w:hAnsi="Calibri" w:cs="Times New Roman"/>
                <w:b/>
                <w:color w:val="000000"/>
                <w:lang w:eastAsia="nl-NL"/>
              </w:rPr>
            </w:pPr>
          </w:p>
        </w:tc>
        <w:tc>
          <w:tcPr>
            <w:tcW w:w="978" w:type="pct"/>
            <w:gridSpan w:val="3"/>
            <w:tcBorders>
              <w:top w:val="nil"/>
              <w:left w:val="nil"/>
              <w:bottom w:val="nil"/>
              <w:right w:val="nil"/>
            </w:tcBorders>
            <w:shd w:val="clear" w:color="auto" w:fill="auto"/>
            <w:noWrap/>
            <w:vAlign w:val="bottom"/>
          </w:tcPr>
          <w:p w14:paraId="2AE429FB" w14:textId="77777777" w:rsidR="000E66DE" w:rsidRDefault="000E66DE" w:rsidP="00A67E1F">
            <w:pPr>
              <w:spacing w:after="0" w:line="240" w:lineRule="auto"/>
              <w:jc w:val="center"/>
              <w:rPr>
                <w:rFonts w:ascii="Calibri" w:eastAsia="Times New Roman" w:hAnsi="Calibri" w:cs="Times New Roman"/>
                <w:b/>
                <w:color w:val="000000"/>
                <w:lang w:eastAsia="nl-NL"/>
              </w:rPr>
            </w:pPr>
            <w:r>
              <w:rPr>
                <w:rFonts w:ascii="Calibri" w:eastAsia="Times New Roman" w:hAnsi="Calibri" w:cs="Times New Roman"/>
                <w:b/>
                <w:color w:val="000000"/>
                <w:lang w:eastAsia="nl-NL"/>
              </w:rPr>
              <w:t>Dementia free mortality</w:t>
            </w:r>
          </w:p>
          <w:p w14:paraId="0E2B4087"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(n</w:t>
            </w:r>
            <w:r w:rsidRPr="009155BD">
              <w:rPr>
                <w:rFonts w:ascii="Calibri" w:eastAsia="Times New Roman" w:hAnsi="Calibri" w:cs="Times New Roman"/>
                <w:color w:val="000000"/>
                <w:lang w:eastAsia="nl-NL"/>
              </w:rPr>
              <w:t>=</w:t>
            </w:r>
            <w:r>
              <w:rPr>
                <w:rFonts w:ascii="Calibri" w:eastAsia="Times New Roman" w:hAnsi="Calibri" w:cs="Times New Roman"/>
                <w:b/>
                <w:color w:val="000000"/>
                <w:lang w:eastAsia="nl-NL"/>
              </w:rPr>
              <w:t>484</w:t>
            </w:r>
            <w:r w:rsidRPr="009155BD">
              <w:rPr>
                <w:rFonts w:ascii="Calibri" w:eastAsia="Times New Roman" w:hAnsi="Calibri" w:cs="Times New Roman"/>
                <w:b/>
                <w:color w:val="000000"/>
                <w:lang w:eastAsia="nl-NL"/>
              </w:rPr>
              <w:t>/3</w:t>
            </w:r>
            <w:r>
              <w:rPr>
                <w:rFonts w:ascii="Calibri" w:eastAsia="Times New Roman" w:hAnsi="Calibri" w:cs="Times New Roman"/>
                <w:b/>
                <w:color w:val="000000"/>
                <w:lang w:eastAsia="nl-NL"/>
              </w:rPr>
              <w:t>,278</w:t>
            </w:r>
            <w:r w:rsidRPr="009155BD">
              <w:rPr>
                <w:rFonts w:ascii="Calibri" w:eastAsia="Times New Roman" w:hAnsi="Calibri" w:cs="Times New Roman"/>
                <w:b/>
                <w:color w:val="000000"/>
                <w:lang w:eastAsia="nl-NL"/>
              </w:rPr>
              <w:t>)</w:t>
            </w:r>
          </w:p>
        </w:tc>
        <w:tc>
          <w:tcPr>
            <w:tcW w:w="134" w:type="pct"/>
            <w:tcBorders>
              <w:top w:val="nil"/>
              <w:left w:val="nil"/>
              <w:bottom w:val="nil"/>
              <w:right w:val="nil"/>
            </w:tcBorders>
          </w:tcPr>
          <w:p w14:paraId="2C573351"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p>
        </w:tc>
        <w:tc>
          <w:tcPr>
            <w:tcW w:w="996" w:type="pct"/>
            <w:gridSpan w:val="4"/>
            <w:tcBorders>
              <w:top w:val="nil"/>
              <w:left w:val="nil"/>
              <w:bottom w:val="nil"/>
              <w:right w:val="nil"/>
            </w:tcBorders>
            <w:shd w:val="clear" w:color="auto" w:fill="auto"/>
            <w:noWrap/>
            <w:vAlign w:val="bottom"/>
          </w:tcPr>
          <w:p w14:paraId="28586DB7" w14:textId="77777777" w:rsidR="000E66DE" w:rsidRPr="00FD418A" w:rsidRDefault="000E66DE" w:rsidP="00A67E1F">
            <w:pPr>
              <w:spacing w:after="0" w:line="240" w:lineRule="auto"/>
              <w:jc w:val="center"/>
              <w:rPr>
                <w:rFonts w:ascii="Calibri" w:eastAsia="Times New Roman" w:hAnsi="Calibri" w:cs="Times New Roman"/>
                <w:b/>
                <w:color w:val="000000"/>
                <w:lang w:eastAsia="nl-NL"/>
              </w:rPr>
            </w:pPr>
            <w:r w:rsidRPr="00FD418A">
              <w:rPr>
                <w:rFonts w:ascii="Calibri" w:eastAsia="Times New Roman" w:hAnsi="Calibri" w:cs="Times New Roman"/>
                <w:b/>
                <w:color w:val="000000"/>
                <w:lang w:eastAsia="nl-NL"/>
              </w:rPr>
              <w:t>Dementia</w:t>
            </w:r>
            <w:r>
              <w:rPr>
                <w:rFonts w:ascii="Calibri" w:eastAsia="Times New Roman" w:hAnsi="Calibri" w:cs="Times New Roman"/>
                <w:b/>
                <w:color w:val="000000"/>
                <w:lang w:eastAsia="nl-NL"/>
              </w:rPr>
              <w:t xml:space="preserve"> and/or </w:t>
            </w:r>
            <w:r w:rsidRPr="00FD418A">
              <w:rPr>
                <w:rFonts w:ascii="Calibri" w:eastAsia="Times New Roman" w:hAnsi="Calibri" w:cs="Times New Roman"/>
                <w:b/>
                <w:color w:val="000000"/>
                <w:lang w:eastAsia="nl-NL"/>
              </w:rPr>
              <w:t>mortality</w:t>
            </w:r>
          </w:p>
          <w:p w14:paraId="6375BD4D" w14:textId="77777777" w:rsidR="000E66DE" w:rsidRPr="00FD418A" w:rsidRDefault="000E66DE" w:rsidP="00A67E1F">
            <w:pPr>
              <w:spacing w:after="0" w:line="240" w:lineRule="auto"/>
              <w:jc w:val="center"/>
              <w:rPr>
                <w:rFonts w:ascii="Calibri" w:eastAsia="Times New Roman" w:hAnsi="Calibri" w:cs="Times New Roman"/>
                <w:b/>
                <w:color w:val="000000"/>
                <w:lang w:eastAsia="nl-NL"/>
              </w:rPr>
            </w:pPr>
            <w:r w:rsidRPr="00FD418A">
              <w:rPr>
                <w:rFonts w:ascii="Calibri" w:eastAsia="Times New Roman" w:hAnsi="Calibri" w:cs="Times New Roman"/>
                <w:b/>
                <w:color w:val="000000"/>
                <w:lang w:eastAsia="nl-NL"/>
              </w:rPr>
              <w:t>(n=</w:t>
            </w:r>
            <w:r w:rsidRPr="009155BD">
              <w:rPr>
                <w:rFonts w:ascii="Calibri" w:eastAsia="Times New Roman" w:hAnsi="Calibri" w:cs="Times New Roman"/>
                <w:b/>
                <w:color w:val="000000"/>
                <w:lang w:eastAsia="nl-NL"/>
              </w:rPr>
              <w:t>703/3</w:t>
            </w:r>
            <w:r w:rsidRPr="00FD418A">
              <w:rPr>
                <w:rFonts w:ascii="Calibri" w:eastAsia="Times New Roman" w:hAnsi="Calibri" w:cs="Times New Roman"/>
                <w:b/>
                <w:color w:val="000000"/>
                <w:lang w:eastAsia="nl-NL"/>
              </w:rPr>
              <w:t>,</w:t>
            </w:r>
            <w:r w:rsidRPr="009155BD">
              <w:rPr>
                <w:rFonts w:ascii="Calibri" w:eastAsia="Times New Roman" w:hAnsi="Calibri" w:cs="Times New Roman"/>
                <w:b/>
                <w:color w:val="000000"/>
                <w:lang w:eastAsia="nl-NL"/>
              </w:rPr>
              <w:t>2</w:t>
            </w:r>
            <w:r>
              <w:rPr>
                <w:rFonts w:ascii="Calibri" w:eastAsia="Times New Roman" w:hAnsi="Calibri" w:cs="Times New Roman"/>
                <w:b/>
                <w:color w:val="000000"/>
                <w:lang w:eastAsia="nl-NL"/>
              </w:rPr>
              <w:t>78</w:t>
            </w:r>
            <w:r w:rsidRPr="00FD418A">
              <w:rPr>
                <w:rFonts w:ascii="Calibri" w:eastAsia="Times New Roman" w:hAnsi="Calibri" w:cs="Times New Roman"/>
                <w:b/>
                <w:color w:val="000000"/>
                <w:lang w:eastAsia="nl-NL"/>
              </w:rPr>
              <w:t>)</w:t>
            </w:r>
          </w:p>
        </w:tc>
      </w:tr>
      <w:tr w:rsidR="000E66DE" w:rsidRPr="009155BD" w14:paraId="61678668" w14:textId="77777777" w:rsidTr="00A67E1F">
        <w:trPr>
          <w:gridAfter w:val="1"/>
          <w:wAfter w:w="3" w:type="pct"/>
          <w:trHeight w:val="300"/>
        </w:trPr>
        <w:tc>
          <w:tcPr>
            <w:tcW w:w="776" w:type="pct"/>
            <w:tcBorders>
              <w:top w:val="nil"/>
              <w:left w:val="nil"/>
              <w:bottom w:val="single" w:sz="4" w:space="0" w:color="auto"/>
              <w:right w:val="nil"/>
            </w:tcBorders>
            <w:shd w:val="clear" w:color="auto" w:fill="auto"/>
            <w:noWrap/>
            <w:vAlign w:val="bottom"/>
          </w:tcPr>
          <w:p w14:paraId="1A8EA3E6" w14:textId="77777777" w:rsidR="000E66DE" w:rsidRPr="00ED4052" w:rsidRDefault="000E66DE" w:rsidP="00A67E1F">
            <w:pPr>
              <w:spacing w:after="0" w:line="240" w:lineRule="auto"/>
              <w:rPr>
                <w:rFonts w:ascii="Calibri" w:eastAsia="Times New Roman" w:hAnsi="Calibri" w:cs="Times New Roman"/>
                <w:b/>
                <w:color w:val="000000"/>
                <w:lang w:eastAsia="nl-NL"/>
              </w:rPr>
            </w:pPr>
            <w:r w:rsidRPr="00ED4052">
              <w:rPr>
                <w:rFonts w:ascii="Calibri" w:eastAsia="Times New Roman" w:hAnsi="Calibri" w:cs="Times New Roman"/>
                <w:b/>
                <w:color w:val="000000"/>
                <w:lang w:eastAsia="nl-NL"/>
              </w:rPr>
              <w:t>AHD</w:t>
            </w:r>
          </w:p>
        </w:tc>
        <w:tc>
          <w:tcPr>
            <w:tcW w:w="204" w:type="pct"/>
            <w:tcBorders>
              <w:top w:val="nil"/>
              <w:left w:val="nil"/>
              <w:bottom w:val="single" w:sz="4" w:space="0" w:color="auto"/>
              <w:right w:val="nil"/>
            </w:tcBorders>
            <w:shd w:val="clear" w:color="auto" w:fill="auto"/>
            <w:noWrap/>
            <w:vAlign w:val="bottom"/>
          </w:tcPr>
          <w:p w14:paraId="6D326C25"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HR</w:t>
            </w:r>
          </w:p>
        </w:tc>
        <w:tc>
          <w:tcPr>
            <w:tcW w:w="540" w:type="pct"/>
            <w:tcBorders>
              <w:top w:val="nil"/>
              <w:left w:val="nil"/>
              <w:bottom w:val="single" w:sz="4" w:space="0" w:color="auto"/>
              <w:right w:val="nil"/>
            </w:tcBorders>
            <w:shd w:val="clear" w:color="auto" w:fill="auto"/>
            <w:noWrap/>
            <w:vAlign w:val="bottom"/>
          </w:tcPr>
          <w:p w14:paraId="426BAD1F"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95% CI</w:t>
            </w:r>
          </w:p>
        </w:tc>
        <w:tc>
          <w:tcPr>
            <w:tcW w:w="208" w:type="pct"/>
            <w:tcBorders>
              <w:top w:val="nil"/>
              <w:left w:val="nil"/>
              <w:bottom w:val="single" w:sz="4" w:space="0" w:color="auto"/>
              <w:right w:val="nil"/>
            </w:tcBorders>
            <w:shd w:val="clear" w:color="auto" w:fill="auto"/>
            <w:noWrap/>
            <w:vAlign w:val="bottom"/>
          </w:tcPr>
          <w:p w14:paraId="37DD4478"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p</w:t>
            </w:r>
          </w:p>
        </w:tc>
        <w:tc>
          <w:tcPr>
            <w:tcW w:w="121" w:type="pct"/>
            <w:tcBorders>
              <w:top w:val="nil"/>
              <w:left w:val="nil"/>
              <w:bottom w:val="single" w:sz="4" w:space="0" w:color="auto"/>
              <w:right w:val="nil"/>
            </w:tcBorders>
          </w:tcPr>
          <w:p w14:paraId="3E989100"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p>
        </w:tc>
        <w:tc>
          <w:tcPr>
            <w:tcW w:w="190" w:type="pct"/>
            <w:tcBorders>
              <w:top w:val="nil"/>
              <w:left w:val="nil"/>
              <w:bottom w:val="single" w:sz="4" w:space="0" w:color="auto"/>
              <w:right w:val="nil"/>
            </w:tcBorders>
            <w:shd w:val="clear" w:color="auto" w:fill="auto"/>
            <w:noWrap/>
            <w:vAlign w:val="bottom"/>
          </w:tcPr>
          <w:p w14:paraId="7DFF8BEE"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HR</w:t>
            </w:r>
          </w:p>
        </w:tc>
        <w:tc>
          <w:tcPr>
            <w:tcW w:w="541" w:type="pct"/>
            <w:tcBorders>
              <w:top w:val="nil"/>
              <w:left w:val="nil"/>
              <w:bottom w:val="single" w:sz="4" w:space="0" w:color="auto"/>
              <w:right w:val="nil"/>
            </w:tcBorders>
            <w:shd w:val="clear" w:color="auto" w:fill="auto"/>
            <w:noWrap/>
            <w:vAlign w:val="bottom"/>
          </w:tcPr>
          <w:p w14:paraId="4FA82EFC"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95% CI</w:t>
            </w:r>
          </w:p>
        </w:tc>
        <w:tc>
          <w:tcPr>
            <w:tcW w:w="190" w:type="pct"/>
            <w:tcBorders>
              <w:top w:val="nil"/>
              <w:left w:val="nil"/>
              <w:bottom w:val="single" w:sz="4" w:space="0" w:color="auto"/>
              <w:right w:val="nil"/>
            </w:tcBorders>
            <w:shd w:val="clear" w:color="auto" w:fill="auto"/>
            <w:noWrap/>
            <w:vAlign w:val="bottom"/>
          </w:tcPr>
          <w:p w14:paraId="021F4767"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p</w:t>
            </w:r>
          </w:p>
        </w:tc>
        <w:tc>
          <w:tcPr>
            <w:tcW w:w="119" w:type="pct"/>
            <w:tcBorders>
              <w:top w:val="nil"/>
              <w:left w:val="nil"/>
              <w:bottom w:val="single" w:sz="4" w:space="0" w:color="auto"/>
              <w:right w:val="nil"/>
            </w:tcBorders>
          </w:tcPr>
          <w:p w14:paraId="0502E355"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p>
        </w:tc>
        <w:tc>
          <w:tcPr>
            <w:tcW w:w="206" w:type="pct"/>
            <w:tcBorders>
              <w:top w:val="nil"/>
              <w:left w:val="nil"/>
              <w:bottom w:val="single" w:sz="4" w:space="0" w:color="auto"/>
              <w:right w:val="nil"/>
            </w:tcBorders>
            <w:shd w:val="clear" w:color="auto" w:fill="auto"/>
            <w:noWrap/>
            <w:vAlign w:val="bottom"/>
          </w:tcPr>
          <w:p w14:paraId="5AD7EE19"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HR</w:t>
            </w:r>
          </w:p>
        </w:tc>
        <w:tc>
          <w:tcPr>
            <w:tcW w:w="542" w:type="pct"/>
            <w:tcBorders>
              <w:top w:val="nil"/>
              <w:left w:val="nil"/>
              <w:bottom w:val="single" w:sz="4" w:space="0" w:color="auto"/>
              <w:right w:val="nil"/>
            </w:tcBorders>
            <w:shd w:val="clear" w:color="auto" w:fill="auto"/>
            <w:noWrap/>
            <w:vAlign w:val="bottom"/>
          </w:tcPr>
          <w:p w14:paraId="28D62B16"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95% CI</w:t>
            </w:r>
          </w:p>
        </w:tc>
        <w:tc>
          <w:tcPr>
            <w:tcW w:w="230" w:type="pct"/>
            <w:tcBorders>
              <w:top w:val="nil"/>
              <w:left w:val="nil"/>
              <w:bottom w:val="single" w:sz="4" w:space="0" w:color="auto"/>
              <w:right w:val="nil"/>
            </w:tcBorders>
            <w:shd w:val="clear" w:color="auto" w:fill="auto"/>
            <w:noWrap/>
            <w:vAlign w:val="bottom"/>
          </w:tcPr>
          <w:p w14:paraId="3B3FB8C5"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p</w:t>
            </w:r>
          </w:p>
        </w:tc>
        <w:tc>
          <w:tcPr>
            <w:tcW w:w="134" w:type="pct"/>
            <w:tcBorders>
              <w:top w:val="nil"/>
              <w:left w:val="nil"/>
              <w:bottom w:val="single" w:sz="4" w:space="0" w:color="auto"/>
              <w:right w:val="nil"/>
            </w:tcBorders>
          </w:tcPr>
          <w:p w14:paraId="16A025E0"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p>
        </w:tc>
        <w:tc>
          <w:tcPr>
            <w:tcW w:w="206" w:type="pct"/>
            <w:tcBorders>
              <w:top w:val="nil"/>
              <w:left w:val="nil"/>
              <w:bottom w:val="single" w:sz="4" w:space="0" w:color="auto"/>
              <w:right w:val="nil"/>
            </w:tcBorders>
            <w:shd w:val="clear" w:color="auto" w:fill="auto"/>
            <w:noWrap/>
            <w:vAlign w:val="bottom"/>
          </w:tcPr>
          <w:p w14:paraId="18D9C0B8"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HR</w:t>
            </w:r>
          </w:p>
        </w:tc>
        <w:tc>
          <w:tcPr>
            <w:tcW w:w="543" w:type="pct"/>
            <w:tcBorders>
              <w:top w:val="nil"/>
              <w:left w:val="nil"/>
              <w:bottom w:val="single" w:sz="4" w:space="0" w:color="auto"/>
              <w:right w:val="nil"/>
            </w:tcBorders>
            <w:shd w:val="clear" w:color="auto" w:fill="auto"/>
            <w:noWrap/>
            <w:vAlign w:val="bottom"/>
          </w:tcPr>
          <w:p w14:paraId="74C30B1D"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95% CI</w:t>
            </w:r>
          </w:p>
        </w:tc>
        <w:tc>
          <w:tcPr>
            <w:tcW w:w="248" w:type="pct"/>
            <w:tcBorders>
              <w:top w:val="nil"/>
              <w:left w:val="nil"/>
              <w:bottom w:val="single" w:sz="4" w:space="0" w:color="auto"/>
              <w:right w:val="nil"/>
            </w:tcBorders>
            <w:shd w:val="clear" w:color="auto" w:fill="auto"/>
            <w:noWrap/>
            <w:vAlign w:val="bottom"/>
          </w:tcPr>
          <w:p w14:paraId="798E412E" w14:textId="77777777" w:rsidR="000E66DE" w:rsidRPr="009155BD" w:rsidRDefault="000E66DE" w:rsidP="00A67E1F">
            <w:pPr>
              <w:spacing w:after="0" w:line="240" w:lineRule="auto"/>
              <w:jc w:val="center"/>
              <w:rPr>
                <w:rFonts w:ascii="Calibri" w:eastAsia="Times New Roman" w:hAnsi="Calibri" w:cs="Times New Roman"/>
                <w:b/>
                <w:color w:val="000000"/>
                <w:lang w:eastAsia="nl-NL"/>
              </w:rPr>
            </w:pPr>
            <w:r w:rsidRPr="009155BD">
              <w:rPr>
                <w:rFonts w:ascii="Calibri" w:eastAsia="Times New Roman" w:hAnsi="Calibri" w:cs="Times New Roman"/>
                <w:b/>
                <w:color w:val="000000"/>
                <w:lang w:eastAsia="nl-NL"/>
              </w:rPr>
              <w:t>p</w:t>
            </w:r>
          </w:p>
        </w:tc>
      </w:tr>
      <w:tr w:rsidR="000E66DE" w:rsidRPr="009155BD" w14:paraId="3D97667A" w14:textId="77777777" w:rsidTr="00A67E1F">
        <w:trPr>
          <w:gridAfter w:val="1"/>
          <w:wAfter w:w="3" w:type="pct"/>
          <w:trHeight w:val="300"/>
        </w:trPr>
        <w:tc>
          <w:tcPr>
            <w:tcW w:w="776" w:type="pct"/>
            <w:tcBorders>
              <w:top w:val="single" w:sz="4" w:space="0" w:color="auto"/>
              <w:left w:val="nil"/>
              <w:bottom w:val="nil"/>
              <w:right w:val="nil"/>
            </w:tcBorders>
            <w:shd w:val="clear" w:color="auto" w:fill="auto"/>
            <w:noWrap/>
            <w:vAlign w:val="bottom"/>
            <w:hideMark/>
          </w:tcPr>
          <w:p w14:paraId="5B9C37FE"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Number (range 0-4)</w:t>
            </w:r>
          </w:p>
        </w:tc>
        <w:tc>
          <w:tcPr>
            <w:tcW w:w="204" w:type="pct"/>
            <w:tcBorders>
              <w:top w:val="single" w:sz="4" w:space="0" w:color="auto"/>
              <w:left w:val="nil"/>
              <w:bottom w:val="nil"/>
              <w:right w:val="nil"/>
            </w:tcBorders>
            <w:shd w:val="clear" w:color="auto" w:fill="auto"/>
            <w:noWrap/>
            <w:vAlign w:val="bottom"/>
            <w:hideMark/>
          </w:tcPr>
          <w:p w14:paraId="131D00E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0.91</w:t>
            </w:r>
          </w:p>
        </w:tc>
        <w:tc>
          <w:tcPr>
            <w:tcW w:w="540" w:type="pct"/>
            <w:tcBorders>
              <w:top w:val="single" w:sz="4" w:space="0" w:color="auto"/>
              <w:left w:val="nil"/>
              <w:bottom w:val="nil"/>
              <w:right w:val="nil"/>
            </w:tcBorders>
            <w:shd w:val="clear" w:color="auto" w:fill="auto"/>
            <w:noWrap/>
            <w:vAlign w:val="bottom"/>
            <w:hideMark/>
          </w:tcPr>
          <w:p w14:paraId="5AB8CB3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0.79</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1.04</w:t>
            </w:r>
            <w:r>
              <w:rPr>
                <w:rFonts w:ascii="Calibri" w:eastAsia="Times New Roman" w:hAnsi="Calibri" w:cs="Times New Roman"/>
                <w:color w:val="000000"/>
                <w:lang w:eastAsia="nl-NL"/>
              </w:rPr>
              <w:t>)</w:t>
            </w:r>
          </w:p>
        </w:tc>
        <w:tc>
          <w:tcPr>
            <w:tcW w:w="208" w:type="pct"/>
            <w:tcBorders>
              <w:top w:val="single" w:sz="4" w:space="0" w:color="auto"/>
              <w:left w:val="nil"/>
              <w:bottom w:val="nil"/>
              <w:right w:val="nil"/>
            </w:tcBorders>
            <w:shd w:val="clear" w:color="auto" w:fill="auto"/>
            <w:noWrap/>
            <w:vAlign w:val="bottom"/>
            <w:hideMark/>
          </w:tcPr>
          <w:p w14:paraId="7E594F1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w:t>
            </w:r>
            <w:r>
              <w:rPr>
                <w:rFonts w:ascii="Calibri" w:eastAsia="Times New Roman" w:hAnsi="Calibri" w:cs="Times New Roman"/>
                <w:color w:val="000000"/>
                <w:lang w:eastAsia="nl-NL"/>
              </w:rPr>
              <w:t>8</w:t>
            </w:r>
          </w:p>
        </w:tc>
        <w:tc>
          <w:tcPr>
            <w:tcW w:w="121" w:type="pct"/>
            <w:tcBorders>
              <w:top w:val="single" w:sz="4" w:space="0" w:color="auto"/>
              <w:left w:val="nil"/>
              <w:bottom w:val="nil"/>
              <w:right w:val="nil"/>
            </w:tcBorders>
          </w:tcPr>
          <w:p w14:paraId="433B986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single" w:sz="4" w:space="0" w:color="auto"/>
              <w:left w:val="nil"/>
              <w:bottom w:val="nil"/>
              <w:right w:val="nil"/>
            </w:tcBorders>
            <w:shd w:val="clear" w:color="auto" w:fill="auto"/>
            <w:noWrap/>
            <w:vAlign w:val="bottom"/>
            <w:hideMark/>
          </w:tcPr>
          <w:p w14:paraId="6052245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0.89</w:t>
            </w:r>
          </w:p>
        </w:tc>
        <w:tc>
          <w:tcPr>
            <w:tcW w:w="541" w:type="pct"/>
            <w:tcBorders>
              <w:top w:val="single" w:sz="4" w:space="0" w:color="auto"/>
              <w:left w:val="nil"/>
              <w:bottom w:val="nil"/>
              <w:right w:val="nil"/>
            </w:tcBorders>
            <w:shd w:val="clear" w:color="auto" w:fill="auto"/>
            <w:noWrap/>
            <w:vAlign w:val="bottom"/>
            <w:hideMark/>
          </w:tcPr>
          <w:p w14:paraId="4A49330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0.78</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1.03</w:t>
            </w:r>
            <w:r>
              <w:rPr>
                <w:rFonts w:ascii="Calibri" w:eastAsia="Times New Roman" w:hAnsi="Calibri" w:cs="Times New Roman"/>
                <w:color w:val="000000"/>
                <w:lang w:eastAsia="nl-NL"/>
              </w:rPr>
              <w:t>)</w:t>
            </w:r>
          </w:p>
        </w:tc>
        <w:tc>
          <w:tcPr>
            <w:tcW w:w="190" w:type="pct"/>
            <w:tcBorders>
              <w:top w:val="single" w:sz="4" w:space="0" w:color="auto"/>
              <w:left w:val="nil"/>
              <w:bottom w:val="nil"/>
              <w:right w:val="nil"/>
            </w:tcBorders>
            <w:shd w:val="clear" w:color="auto" w:fill="auto"/>
            <w:noWrap/>
            <w:vAlign w:val="bottom"/>
            <w:hideMark/>
          </w:tcPr>
          <w:p w14:paraId="7536DB4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0.12</w:t>
            </w:r>
          </w:p>
        </w:tc>
        <w:tc>
          <w:tcPr>
            <w:tcW w:w="119" w:type="pct"/>
            <w:tcBorders>
              <w:top w:val="single" w:sz="4" w:space="0" w:color="auto"/>
              <w:left w:val="nil"/>
              <w:bottom w:val="nil"/>
              <w:right w:val="nil"/>
            </w:tcBorders>
          </w:tcPr>
          <w:p w14:paraId="5486D67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single" w:sz="4" w:space="0" w:color="auto"/>
              <w:left w:val="nil"/>
              <w:bottom w:val="nil"/>
              <w:right w:val="nil"/>
            </w:tcBorders>
            <w:shd w:val="clear" w:color="auto" w:fill="auto"/>
            <w:noWrap/>
            <w:vAlign w:val="bottom"/>
            <w:hideMark/>
          </w:tcPr>
          <w:p w14:paraId="53DE3206"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1.14</w:t>
            </w:r>
          </w:p>
        </w:tc>
        <w:tc>
          <w:tcPr>
            <w:tcW w:w="542" w:type="pct"/>
            <w:tcBorders>
              <w:top w:val="single" w:sz="4" w:space="0" w:color="auto"/>
              <w:left w:val="nil"/>
              <w:bottom w:val="nil"/>
              <w:right w:val="nil"/>
            </w:tcBorders>
            <w:shd w:val="clear" w:color="auto" w:fill="auto"/>
            <w:noWrap/>
            <w:vAlign w:val="bottom"/>
            <w:hideMark/>
          </w:tcPr>
          <w:p w14:paraId="0E320320"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1.05</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1.24</w:t>
            </w:r>
            <w:r>
              <w:rPr>
                <w:rFonts w:ascii="Calibri" w:eastAsia="Times New Roman" w:hAnsi="Calibri" w:cs="Times New Roman"/>
                <w:color w:val="000000"/>
                <w:lang w:eastAsia="nl-NL"/>
              </w:rPr>
              <w:t>)</w:t>
            </w:r>
          </w:p>
        </w:tc>
        <w:tc>
          <w:tcPr>
            <w:tcW w:w="230" w:type="pct"/>
            <w:tcBorders>
              <w:top w:val="single" w:sz="4" w:space="0" w:color="auto"/>
              <w:left w:val="nil"/>
              <w:bottom w:val="nil"/>
              <w:right w:val="nil"/>
            </w:tcBorders>
            <w:shd w:val="clear" w:color="auto" w:fill="auto"/>
            <w:noWrap/>
            <w:vAlign w:val="bottom"/>
            <w:hideMark/>
          </w:tcPr>
          <w:p w14:paraId="2FAE882A"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0.002</w:t>
            </w:r>
          </w:p>
        </w:tc>
        <w:tc>
          <w:tcPr>
            <w:tcW w:w="134" w:type="pct"/>
            <w:tcBorders>
              <w:top w:val="single" w:sz="4" w:space="0" w:color="auto"/>
              <w:left w:val="nil"/>
              <w:bottom w:val="nil"/>
              <w:right w:val="nil"/>
            </w:tcBorders>
          </w:tcPr>
          <w:p w14:paraId="55AA8D2C"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single" w:sz="4" w:space="0" w:color="auto"/>
              <w:left w:val="nil"/>
              <w:bottom w:val="nil"/>
              <w:right w:val="nil"/>
            </w:tcBorders>
            <w:shd w:val="clear" w:color="auto" w:fill="auto"/>
            <w:noWrap/>
            <w:vAlign w:val="bottom"/>
            <w:hideMark/>
          </w:tcPr>
          <w:p w14:paraId="0AF6A9A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1.07</w:t>
            </w:r>
          </w:p>
        </w:tc>
        <w:tc>
          <w:tcPr>
            <w:tcW w:w="543" w:type="pct"/>
            <w:tcBorders>
              <w:top w:val="single" w:sz="4" w:space="0" w:color="auto"/>
              <w:left w:val="nil"/>
              <w:bottom w:val="nil"/>
              <w:right w:val="nil"/>
            </w:tcBorders>
            <w:shd w:val="clear" w:color="auto" w:fill="auto"/>
            <w:noWrap/>
            <w:vAlign w:val="bottom"/>
            <w:hideMark/>
          </w:tcPr>
          <w:p w14:paraId="33D6346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1</w:t>
            </w:r>
            <w:r>
              <w:rPr>
                <w:rFonts w:ascii="Calibri" w:eastAsia="Times New Roman" w:hAnsi="Calibri" w:cs="Times New Roman"/>
                <w:color w:val="000000"/>
                <w:lang w:eastAsia="nl-NL"/>
              </w:rPr>
              <w:t xml:space="preserve">.00 to </w:t>
            </w:r>
            <w:r w:rsidRPr="009155BD">
              <w:rPr>
                <w:rFonts w:ascii="Calibri" w:eastAsia="Times New Roman" w:hAnsi="Calibri" w:cs="Times New Roman"/>
                <w:color w:val="000000"/>
                <w:lang w:eastAsia="nl-NL"/>
              </w:rPr>
              <w:t>1.15</w:t>
            </w:r>
            <w:r>
              <w:rPr>
                <w:rFonts w:ascii="Calibri" w:eastAsia="Times New Roman" w:hAnsi="Calibri" w:cs="Times New Roman"/>
                <w:color w:val="000000"/>
                <w:lang w:eastAsia="nl-NL"/>
              </w:rPr>
              <w:t>)</w:t>
            </w:r>
          </w:p>
        </w:tc>
        <w:tc>
          <w:tcPr>
            <w:tcW w:w="248" w:type="pct"/>
            <w:tcBorders>
              <w:top w:val="single" w:sz="4" w:space="0" w:color="auto"/>
              <w:left w:val="nil"/>
              <w:bottom w:val="nil"/>
              <w:right w:val="nil"/>
            </w:tcBorders>
            <w:shd w:val="clear" w:color="auto" w:fill="auto"/>
            <w:noWrap/>
            <w:vAlign w:val="bottom"/>
            <w:hideMark/>
          </w:tcPr>
          <w:p w14:paraId="3BA4D54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0.05</w:t>
            </w:r>
            <w:r>
              <w:rPr>
                <w:rFonts w:ascii="Calibri" w:eastAsia="Times New Roman" w:hAnsi="Calibri" w:cs="Times New Roman"/>
                <w:color w:val="000000"/>
                <w:lang w:eastAsia="nl-NL"/>
              </w:rPr>
              <w:t>3</w:t>
            </w:r>
          </w:p>
        </w:tc>
      </w:tr>
      <w:tr w:rsidR="000E66DE" w:rsidRPr="009155BD" w14:paraId="1F5C5738"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7443340E"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- 0 (n=1479)</w:t>
            </w:r>
          </w:p>
        </w:tc>
        <w:tc>
          <w:tcPr>
            <w:tcW w:w="204" w:type="pct"/>
            <w:tcBorders>
              <w:top w:val="nil"/>
              <w:left w:val="nil"/>
              <w:bottom w:val="nil"/>
              <w:right w:val="nil"/>
            </w:tcBorders>
            <w:shd w:val="clear" w:color="auto" w:fill="auto"/>
            <w:noWrap/>
            <w:vAlign w:val="bottom"/>
          </w:tcPr>
          <w:p w14:paraId="5130DFD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540" w:type="pct"/>
            <w:tcBorders>
              <w:top w:val="nil"/>
              <w:left w:val="nil"/>
              <w:bottom w:val="nil"/>
              <w:right w:val="nil"/>
            </w:tcBorders>
            <w:shd w:val="clear" w:color="auto" w:fill="auto"/>
            <w:noWrap/>
            <w:vAlign w:val="bottom"/>
          </w:tcPr>
          <w:p w14:paraId="5B082487"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8" w:type="pct"/>
            <w:tcBorders>
              <w:top w:val="nil"/>
              <w:left w:val="nil"/>
              <w:bottom w:val="nil"/>
              <w:right w:val="nil"/>
            </w:tcBorders>
            <w:shd w:val="clear" w:color="auto" w:fill="auto"/>
            <w:noWrap/>
            <w:vAlign w:val="bottom"/>
          </w:tcPr>
          <w:p w14:paraId="626E3EAF"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21" w:type="pct"/>
            <w:tcBorders>
              <w:top w:val="nil"/>
              <w:left w:val="nil"/>
              <w:bottom w:val="nil"/>
              <w:right w:val="nil"/>
            </w:tcBorders>
          </w:tcPr>
          <w:p w14:paraId="3A67B224"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90" w:type="pct"/>
            <w:tcBorders>
              <w:top w:val="nil"/>
              <w:left w:val="nil"/>
              <w:bottom w:val="nil"/>
              <w:right w:val="nil"/>
            </w:tcBorders>
            <w:shd w:val="clear" w:color="auto" w:fill="auto"/>
            <w:noWrap/>
            <w:vAlign w:val="bottom"/>
          </w:tcPr>
          <w:p w14:paraId="3729DE8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541" w:type="pct"/>
            <w:tcBorders>
              <w:top w:val="nil"/>
              <w:left w:val="nil"/>
              <w:bottom w:val="nil"/>
              <w:right w:val="nil"/>
            </w:tcBorders>
            <w:shd w:val="clear" w:color="auto" w:fill="auto"/>
            <w:noWrap/>
            <w:vAlign w:val="bottom"/>
          </w:tcPr>
          <w:p w14:paraId="5C49C305"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90" w:type="pct"/>
            <w:tcBorders>
              <w:top w:val="nil"/>
              <w:left w:val="nil"/>
              <w:bottom w:val="nil"/>
              <w:right w:val="nil"/>
            </w:tcBorders>
            <w:shd w:val="clear" w:color="auto" w:fill="auto"/>
            <w:noWrap/>
            <w:vAlign w:val="bottom"/>
          </w:tcPr>
          <w:p w14:paraId="14CB6D96"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19" w:type="pct"/>
            <w:tcBorders>
              <w:top w:val="nil"/>
              <w:left w:val="nil"/>
              <w:bottom w:val="nil"/>
              <w:right w:val="nil"/>
            </w:tcBorders>
          </w:tcPr>
          <w:p w14:paraId="5B37D401"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6" w:type="pct"/>
            <w:tcBorders>
              <w:top w:val="nil"/>
              <w:left w:val="nil"/>
              <w:bottom w:val="nil"/>
              <w:right w:val="nil"/>
            </w:tcBorders>
            <w:shd w:val="clear" w:color="auto" w:fill="auto"/>
            <w:noWrap/>
            <w:vAlign w:val="bottom"/>
          </w:tcPr>
          <w:p w14:paraId="07CD1344"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p>
        </w:tc>
        <w:tc>
          <w:tcPr>
            <w:tcW w:w="542" w:type="pct"/>
            <w:tcBorders>
              <w:top w:val="nil"/>
              <w:left w:val="nil"/>
              <w:bottom w:val="nil"/>
              <w:right w:val="nil"/>
            </w:tcBorders>
            <w:shd w:val="clear" w:color="auto" w:fill="auto"/>
            <w:noWrap/>
            <w:vAlign w:val="bottom"/>
          </w:tcPr>
          <w:p w14:paraId="6168D691" w14:textId="77777777" w:rsidR="000E66DE" w:rsidRDefault="000E66DE" w:rsidP="00A67E1F">
            <w:pPr>
              <w:spacing w:after="0" w:line="240" w:lineRule="auto"/>
              <w:jc w:val="center"/>
              <w:rPr>
                <w:rFonts w:ascii="Calibri" w:eastAsia="Times New Roman" w:hAnsi="Calibri" w:cs="Times New Roman"/>
                <w:color w:val="000000"/>
                <w:lang w:eastAsia="nl-NL"/>
              </w:rPr>
            </w:pPr>
          </w:p>
        </w:tc>
        <w:tc>
          <w:tcPr>
            <w:tcW w:w="230" w:type="pct"/>
            <w:tcBorders>
              <w:top w:val="nil"/>
              <w:left w:val="nil"/>
              <w:bottom w:val="nil"/>
              <w:right w:val="nil"/>
            </w:tcBorders>
            <w:shd w:val="clear" w:color="auto" w:fill="auto"/>
            <w:noWrap/>
            <w:vAlign w:val="bottom"/>
          </w:tcPr>
          <w:p w14:paraId="0DFC61BB"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p>
        </w:tc>
        <w:tc>
          <w:tcPr>
            <w:tcW w:w="134" w:type="pct"/>
            <w:tcBorders>
              <w:top w:val="nil"/>
              <w:left w:val="nil"/>
              <w:bottom w:val="nil"/>
              <w:right w:val="nil"/>
            </w:tcBorders>
          </w:tcPr>
          <w:p w14:paraId="263DE960"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6" w:type="pct"/>
            <w:tcBorders>
              <w:top w:val="nil"/>
              <w:left w:val="nil"/>
              <w:bottom w:val="nil"/>
              <w:right w:val="nil"/>
            </w:tcBorders>
            <w:shd w:val="clear" w:color="auto" w:fill="auto"/>
            <w:noWrap/>
            <w:vAlign w:val="bottom"/>
          </w:tcPr>
          <w:p w14:paraId="302EC25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543" w:type="pct"/>
            <w:tcBorders>
              <w:top w:val="nil"/>
              <w:left w:val="nil"/>
              <w:bottom w:val="nil"/>
              <w:right w:val="nil"/>
            </w:tcBorders>
            <w:shd w:val="clear" w:color="auto" w:fill="auto"/>
            <w:noWrap/>
            <w:vAlign w:val="bottom"/>
          </w:tcPr>
          <w:p w14:paraId="0CE19158"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48" w:type="pct"/>
            <w:tcBorders>
              <w:top w:val="nil"/>
              <w:left w:val="nil"/>
              <w:bottom w:val="nil"/>
              <w:right w:val="nil"/>
            </w:tcBorders>
            <w:shd w:val="clear" w:color="auto" w:fill="auto"/>
            <w:noWrap/>
            <w:vAlign w:val="bottom"/>
            <w:hideMark/>
          </w:tcPr>
          <w:p w14:paraId="4491905F"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r>
      <w:tr w:rsidR="000E66DE" w:rsidRPr="009155BD" w14:paraId="57CBB2B7"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348AB67E"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- 1 (n=766)</w:t>
            </w:r>
          </w:p>
        </w:tc>
        <w:tc>
          <w:tcPr>
            <w:tcW w:w="204" w:type="pct"/>
            <w:tcBorders>
              <w:top w:val="nil"/>
              <w:left w:val="nil"/>
              <w:bottom w:val="nil"/>
              <w:right w:val="nil"/>
            </w:tcBorders>
            <w:shd w:val="clear" w:color="auto" w:fill="auto"/>
            <w:noWrap/>
            <w:vAlign w:val="bottom"/>
            <w:hideMark/>
          </w:tcPr>
          <w:p w14:paraId="4887CDA0"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1.1</w:t>
            </w:r>
            <w:r>
              <w:rPr>
                <w:rFonts w:ascii="Calibri" w:eastAsia="Times New Roman" w:hAnsi="Calibri" w:cs="Times New Roman"/>
                <w:color w:val="000000"/>
                <w:lang w:eastAsia="nl-NL"/>
              </w:rPr>
              <w:t>1</w:t>
            </w:r>
          </w:p>
        </w:tc>
        <w:tc>
          <w:tcPr>
            <w:tcW w:w="540" w:type="pct"/>
            <w:tcBorders>
              <w:top w:val="nil"/>
              <w:left w:val="nil"/>
              <w:bottom w:val="nil"/>
              <w:right w:val="nil"/>
            </w:tcBorders>
            <w:shd w:val="clear" w:color="auto" w:fill="auto"/>
            <w:noWrap/>
            <w:vAlign w:val="bottom"/>
            <w:hideMark/>
          </w:tcPr>
          <w:p w14:paraId="1CE8426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w:t>
            </w:r>
            <w:r>
              <w:rPr>
                <w:rFonts w:ascii="Calibri" w:eastAsia="Times New Roman" w:hAnsi="Calibri" w:cs="Times New Roman"/>
                <w:color w:val="000000"/>
                <w:lang w:eastAsia="nl-NL"/>
              </w:rPr>
              <w:t xml:space="preserve">79 to </w:t>
            </w:r>
            <w:r w:rsidRPr="009155BD">
              <w:rPr>
                <w:rFonts w:ascii="Calibri" w:eastAsia="Times New Roman" w:hAnsi="Calibri" w:cs="Times New Roman"/>
                <w:color w:val="000000"/>
                <w:lang w:eastAsia="nl-NL"/>
              </w:rPr>
              <w:t>1.56</w:t>
            </w:r>
            <w:r>
              <w:rPr>
                <w:rFonts w:ascii="Calibri" w:eastAsia="Times New Roman" w:hAnsi="Calibri" w:cs="Times New Roman"/>
                <w:color w:val="000000"/>
                <w:lang w:eastAsia="nl-NL"/>
              </w:rPr>
              <w:t>)</w:t>
            </w:r>
          </w:p>
        </w:tc>
        <w:tc>
          <w:tcPr>
            <w:tcW w:w="208" w:type="pct"/>
            <w:tcBorders>
              <w:top w:val="nil"/>
              <w:left w:val="nil"/>
              <w:bottom w:val="nil"/>
              <w:right w:val="nil"/>
            </w:tcBorders>
            <w:shd w:val="clear" w:color="auto" w:fill="auto"/>
            <w:noWrap/>
            <w:vAlign w:val="bottom"/>
            <w:hideMark/>
          </w:tcPr>
          <w:p w14:paraId="154823A4"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0.5</w:t>
            </w:r>
            <w:r>
              <w:rPr>
                <w:rFonts w:ascii="Calibri" w:eastAsia="Times New Roman" w:hAnsi="Calibri" w:cs="Times New Roman"/>
                <w:color w:val="000000"/>
                <w:lang w:eastAsia="nl-NL"/>
              </w:rPr>
              <w:t>4</w:t>
            </w:r>
          </w:p>
        </w:tc>
        <w:tc>
          <w:tcPr>
            <w:tcW w:w="121" w:type="pct"/>
            <w:tcBorders>
              <w:top w:val="nil"/>
              <w:left w:val="nil"/>
              <w:bottom w:val="nil"/>
              <w:right w:val="nil"/>
            </w:tcBorders>
          </w:tcPr>
          <w:p w14:paraId="0B8C033A" w14:textId="77777777" w:rsidR="000E66DE" w:rsidRPr="009155BD" w:rsidRDefault="000E66DE" w:rsidP="00A67E1F">
            <w:pPr>
              <w:spacing w:after="0" w:line="240" w:lineRule="auto"/>
              <w:rPr>
                <w:rFonts w:ascii="Calibri" w:eastAsia="Times New Roman" w:hAnsi="Calibri" w:cs="Times New Roman"/>
                <w:color w:val="000000"/>
                <w:lang w:eastAsia="nl-NL"/>
              </w:rPr>
            </w:pPr>
          </w:p>
        </w:tc>
        <w:tc>
          <w:tcPr>
            <w:tcW w:w="190" w:type="pct"/>
            <w:tcBorders>
              <w:top w:val="nil"/>
              <w:left w:val="nil"/>
              <w:bottom w:val="nil"/>
              <w:right w:val="nil"/>
            </w:tcBorders>
            <w:shd w:val="clear" w:color="auto" w:fill="auto"/>
            <w:noWrap/>
            <w:vAlign w:val="bottom"/>
            <w:hideMark/>
          </w:tcPr>
          <w:p w14:paraId="156487D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1.11</w:t>
            </w:r>
          </w:p>
        </w:tc>
        <w:tc>
          <w:tcPr>
            <w:tcW w:w="541" w:type="pct"/>
            <w:tcBorders>
              <w:top w:val="nil"/>
              <w:left w:val="nil"/>
              <w:bottom w:val="nil"/>
              <w:right w:val="nil"/>
            </w:tcBorders>
            <w:shd w:val="clear" w:color="auto" w:fill="auto"/>
            <w:noWrap/>
            <w:vAlign w:val="bottom"/>
            <w:hideMark/>
          </w:tcPr>
          <w:p w14:paraId="4CBBE65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0.8</w:t>
            </w:r>
            <w:r>
              <w:rPr>
                <w:rFonts w:ascii="Calibri" w:eastAsia="Times New Roman" w:hAnsi="Calibri" w:cs="Times New Roman"/>
                <w:color w:val="000000"/>
                <w:lang w:eastAsia="nl-NL"/>
              </w:rPr>
              <w:t xml:space="preserve">0 to </w:t>
            </w:r>
            <w:r w:rsidRPr="009155BD">
              <w:rPr>
                <w:rFonts w:ascii="Calibri" w:eastAsia="Times New Roman" w:hAnsi="Calibri" w:cs="Times New Roman"/>
                <w:color w:val="000000"/>
                <w:lang w:eastAsia="nl-NL"/>
              </w:rPr>
              <w:t>1.55</w:t>
            </w:r>
            <w:r>
              <w:rPr>
                <w:rFonts w:ascii="Calibri" w:eastAsia="Times New Roman" w:hAnsi="Calibri" w:cs="Times New Roman"/>
                <w:color w:val="000000"/>
                <w:lang w:eastAsia="nl-NL"/>
              </w:rPr>
              <w:t>)</w:t>
            </w:r>
          </w:p>
        </w:tc>
        <w:tc>
          <w:tcPr>
            <w:tcW w:w="190" w:type="pct"/>
            <w:tcBorders>
              <w:top w:val="nil"/>
              <w:left w:val="nil"/>
              <w:bottom w:val="nil"/>
              <w:right w:val="nil"/>
            </w:tcBorders>
            <w:shd w:val="clear" w:color="auto" w:fill="auto"/>
            <w:noWrap/>
            <w:vAlign w:val="bottom"/>
            <w:hideMark/>
          </w:tcPr>
          <w:p w14:paraId="5F7FBFDD"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0.54</w:t>
            </w:r>
          </w:p>
        </w:tc>
        <w:tc>
          <w:tcPr>
            <w:tcW w:w="119" w:type="pct"/>
            <w:tcBorders>
              <w:top w:val="nil"/>
              <w:left w:val="nil"/>
              <w:bottom w:val="nil"/>
              <w:right w:val="nil"/>
            </w:tcBorders>
          </w:tcPr>
          <w:p w14:paraId="42F0669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1B9C7883"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1.15</w:t>
            </w:r>
          </w:p>
        </w:tc>
        <w:tc>
          <w:tcPr>
            <w:tcW w:w="542" w:type="pct"/>
            <w:tcBorders>
              <w:top w:val="nil"/>
              <w:left w:val="nil"/>
              <w:bottom w:val="nil"/>
              <w:right w:val="nil"/>
            </w:tcBorders>
            <w:shd w:val="clear" w:color="auto" w:fill="auto"/>
            <w:noWrap/>
            <w:vAlign w:val="bottom"/>
            <w:hideMark/>
          </w:tcPr>
          <w:p w14:paraId="5CC80245"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0.9</w:t>
            </w:r>
            <w:r>
              <w:rPr>
                <w:rFonts w:ascii="Calibri" w:eastAsia="Times New Roman" w:hAnsi="Calibri" w:cs="Times New Roman"/>
                <w:color w:val="000000"/>
                <w:lang w:eastAsia="nl-NL"/>
              </w:rPr>
              <w:t xml:space="preserve">0 to </w:t>
            </w:r>
            <w:r w:rsidRPr="005844CC">
              <w:rPr>
                <w:rFonts w:ascii="Calibri" w:eastAsia="Times New Roman" w:hAnsi="Calibri" w:cs="Times New Roman"/>
                <w:color w:val="000000"/>
                <w:lang w:eastAsia="nl-NL"/>
              </w:rPr>
              <w:t>1.48</w:t>
            </w:r>
            <w:r>
              <w:rPr>
                <w:rFonts w:ascii="Calibri" w:eastAsia="Times New Roman" w:hAnsi="Calibri" w:cs="Times New Roman"/>
                <w:color w:val="000000"/>
                <w:lang w:eastAsia="nl-NL"/>
              </w:rPr>
              <w:t>)</w:t>
            </w:r>
          </w:p>
        </w:tc>
        <w:tc>
          <w:tcPr>
            <w:tcW w:w="230" w:type="pct"/>
            <w:tcBorders>
              <w:top w:val="nil"/>
              <w:left w:val="nil"/>
              <w:bottom w:val="nil"/>
              <w:right w:val="nil"/>
            </w:tcBorders>
            <w:shd w:val="clear" w:color="auto" w:fill="auto"/>
            <w:noWrap/>
            <w:vAlign w:val="bottom"/>
            <w:hideMark/>
          </w:tcPr>
          <w:p w14:paraId="000BF241"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0.26</w:t>
            </w:r>
          </w:p>
        </w:tc>
        <w:tc>
          <w:tcPr>
            <w:tcW w:w="134" w:type="pct"/>
            <w:tcBorders>
              <w:top w:val="nil"/>
              <w:left w:val="nil"/>
              <w:bottom w:val="nil"/>
              <w:right w:val="nil"/>
            </w:tcBorders>
          </w:tcPr>
          <w:p w14:paraId="65594B4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2DA9CE5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1.14</w:t>
            </w:r>
          </w:p>
        </w:tc>
        <w:tc>
          <w:tcPr>
            <w:tcW w:w="543" w:type="pct"/>
            <w:tcBorders>
              <w:top w:val="nil"/>
              <w:left w:val="nil"/>
              <w:bottom w:val="nil"/>
              <w:right w:val="nil"/>
            </w:tcBorders>
            <w:shd w:val="clear" w:color="auto" w:fill="auto"/>
            <w:noWrap/>
            <w:vAlign w:val="bottom"/>
            <w:hideMark/>
          </w:tcPr>
          <w:p w14:paraId="665CD3A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0.93</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1.39</w:t>
            </w:r>
            <w:r>
              <w:rPr>
                <w:rFonts w:ascii="Calibri" w:eastAsia="Times New Roman" w:hAnsi="Calibri" w:cs="Times New Roman"/>
                <w:color w:val="000000"/>
                <w:lang w:eastAsia="nl-NL"/>
              </w:rPr>
              <w:t>)</w:t>
            </w:r>
          </w:p>
        </w:tc>
        <w:tc>
          <w:tcPr>
            <w:tcW w:w="248" w:type="pct"/>
            <w:tcBorders>
              <w:top w:val="nil"/>
              <w:left w:val="nil"/>
              <w:bottom w:val="nil"/>
              <w:right w:val="nil"/>
            </w:tcBorders>
            <w:shd w:val="clear" w:color="auto" w:fill="auto"/>
            <w:noWrap/>
            <w:vAlign w:val="bottom"/>
            <w:hideMark/>
          </w:tcPr>
          <w:p w14:paraId="123008B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0.2</w:t>
            </w:r>
            <w:r>
              <w:rPr>
                <w:rFonts w:ascii="Calibri" w:eastAsia="Times New Roman" w:hAnsi="Calibri" w:cs="Times New Roman"/>
                <w:color w:val="000000"/>
                <w:lang w:eastAsia="nl-NL"/>
              </w:rPr>
              <w:t>0</w:t>
            </w:r>
          </w:p>
        </w:tc>
      </w:tr>
      <w:tr w:rsidR="000E66DE" w:rsidRPr="009155BD" w14:paraId="56F36B5C"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3C940CF1"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 ≥2 (n=1033)</w:t>
            </w:r>
          </w:p>
        </w:tc>
        <w:tc>
          <w:tcPr>
            <w:tcW w:w="204" w:type="pct"/>
            <w:tcBorders>
              <w:top w:val="nil"/>
              <w:left w:val="nil"/>
              <w:bottom w:val="nil"/>
              <w:right w:val="nil"/>
            </w:tcBorders>
            <w:shd w:val="clear" w:color="auto" w:fill="auto"/>
            <w:noWrap/>
            <w:vAlign w:val="bottom"/>
            <w:hideMark/>
          </w:tcPr>
          <w:p w14:paraId="16C15A10"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0.83</w:t>
            </w:r>
          </w:p>
        </w:tc>
        <w:tc>
          <w:tcPr>
            <w:tcW w:w="540" w:type="pct"/>
            <w:tcBorders>
              <w:top w:val="nil"/>
              <w:left w:val="nil"/>
              <w:bottom w:val="nil"/>
              <w:right w:val="nil"/>
            </w:tcBorders>
            <w:shd w:val="clear" w:color="auto" w:fill="auto"/>
            <w:noWrap/>
            <w:vAlign w:val="bottom"/>
            <w:hideMark/>
          </w:tcPr>
          <w:p w14:paraId="12A8C97E"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0.58</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1.1</w:t>
            </w:r>
            <w:r>
              <w:rPr>
                <w:rFonts w:ascii="Calibri" w:eastAsia="Times New Roman" w:hAnsi="Calibri" w:cs="Times New Roman"/>
                <w:color w:val="000000"/>
                <w:lang w:eastAsia="nl-NL"/>
              </w:rPr>
              <w:t>9)</w:t>
            </w:r>
          </w:p>
        </w:tc>
        <w:tc>
          <w:tcPr>
            <w:tcW w:w="208" w:type="pct"/>
            <w:tcBorders>
              <w:top w:val="nil"/>
              <w:left w:val="nil"/>
              <w:bottom w:val="nil"/>
              <w:right w:val="nil"/>
            </w:tcBorders>
            <w:shd w:val="clear" w:color="auto" w:fill="auto"/>
            <w:noWrap/>
            <w:vAlign w:val="bottom"/>
            <w:hideMark/>
          </w:tcPr>
          <w:p w14:paraId="7046AAA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0.3</w:t>
            </w:r>
            <w:r>
              <w:rPr>
                <w:rFonts w:ascii="Calibri" w:eastAsia="Times New Roman" w:hAnsi="Calibri" w:cs="Times New Roman"/>
                <w:color w:val="000000"/>
                <w:lang w:eastAsia="nl-NL"/>
              </w:rPr>
              <w:t>2</w:t>
            </w:r>
          </w:p>
        </w:tc>
        <w:tc>
          <w:tcPr>
            <w:tcW w:w="121" w:type="pct"/>
            <w:tcBorders>
              <w:top w:val="nil"/>
              <w:left w:val="nil"/>
              <w:bottom w:val="nil"/>
              <w:right w:val="nil"/>
            </w:tcBorders>
          </w:tcPr>
          <w:p w14:paraId="620DDE9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bottom w:val="nil"/>
              <w:right w:val="nil"/>
            </w:tcBorders>
            <w:shd w:val="clear" w:color="auto" w:fill="auto"/>
            <w:noWrap/>
            <w:vAlign w:val="bottom"/>
            <w:hideMark/>
          </w:tcPr>
          <w:p w14:paraId="49217F4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w:t>
            </w:r>
            <w:r>
              <w:rPr>
                <w:rFonts w:ascii="Calibri" w:eastAsia="Times New Roman" w:hAnsi="Calibri" w:cs="Times New Roman"/>
                <w:color w:val="000000"/>
                <w:lang w:eastAsia="nl-NL"/>
              </w:rPr>
              <w:t>0</w:t>
            </w:r>
          </w:p>
        </w:tc>
        <w:tc>
          <w:tcPr>
            <w:tcW w:w="541" w:type="pct"/>
            <w:tcBorders>
              <w:top w:val="nil"/>
              <w:left w:val="nil"/>
              <w:bottom w:val="nil"/>
              <w:right w:val="nil"/>
            </w:tcBorders>
            <w:shd w:val="clear" w:color="auto" w:fill="auto"/>
            <w:noWrap/>
            <w:vAlign w:val="bottom"/>
            <w:hideMark/>
          </w:tcPr>
          <w:p w14:paraId="251BBB2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0.56</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1.15</w:t>
            </w:r>
            <w:r>
              <w:rPr>
                <w:rFonts w:ascii="Calibri" w:eastAsia="Times New Roman" w:hAnsi="Calibri" w:cs="Times New Roman"/>
                <w:color w:val="000000"/>
                <w:lang w:eastAsia="nl-NL"/>
              </w:rPr>
              <w:t>)</w:t>
            </w:r>
          </w:p>
        </w:tc>
        <w:tc>
          <w:tcPr>
            <w:tcW w:w="190" w:type="pct"/>
            <w:tcBorders>
              <w:top w:val="nil"/>
              <w:left w:val="nil"/>
              <w:bottom w:val="nil"/>
              <w:right w:val="nil"/>
            </w:tcBorders>
            <w:shd w:val="clear" w:color="auto" w:fill="auto"/>
            <w:noWrap/>
            <w:vAlign w:val="bottom"/>
            <w:hideMark/>
          </w:tcPr>
          <w:p w14:paraId="33E6A4A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0.23</w:t>
            </w:r>
          </w:p>
        </w:tc>
        <w:tc>
          <w:tcPr>
            <w:tcW w:w="119" w:type="pct"/>
            <w:tcBorders>
              <w:top w:val="nil"/>
              <w:left w:val="nil"/>
              <w:bottom w:val="nil"/>
              <w:right w:val="nil"/>
            </w:tcBorders>
          </w:tcPr>
          <w:p w14:paraId="32474EF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74AD51B0"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1.39</w:t>
            </w:r>
          </w:p>
        </w:tc>
        <w:tc>
          <w:tcPr>
            <w:tcW w:w="542" w:type="pct"/>
            <w:tcBorders>
              <w:top w:val="nil"/>
              <w:left w:val="nil"/>
              <w:bottom w:val="nil"/>
              <w:right w:val="nil"/>
            </w:tcBorders>
            <w:shd w:val="clear" w:color="auto" w:fill="auto"/>
            <w:noWrap/>
            <w:vAlign w:val="bottom"/>
            <w:hideMark/>
          </w:tcPr>
          <w:p w14:paraId="3823C5B9"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1.11</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1.75</w:t>
            </w:r>
            <w:r>
              <w:rPr>
                <w:rFonts w:ascii="Calibri" w:eastAsia="Times New Roman" w:hAnsi="Calibri" w:cs="Times New Roman"/>
                <w:color w:val="000000"/>
                <w:lang w:eastAsia="nl-NL"/>
              </w:rPr>
              <w:t>)</w:t>
            </w:r>
          </w:p>
        </w:tc>
        <w:tc>
          <w:tcPr>
            <w:tcW w:w="230" w:type="pct"/>
            <w:tcBorders>
              <w:top w:val="nil"/>
              <w:left w:val="nil"/>
              <w:bottom w:val="nil"/>
              <w:right w:val="nil"/>
            </w:tcBorders>
            <w:shd w:val="clear" w:color="auto" w:fill="auto"/>
            <w:noWrap/>
            <w:vAlign w:val="bottom"/>
            <w:hideMark/>
          </w:tcPr>
          <w:p w14:paraId="4F651C8D"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0.0</w:t>
            </w:r>
            <w:r>
              <w:rPr>
                <w:rFonts w:ascii="Calibri" w:eastAsia="Times New Roman" w:hAnsi="Calibri" w:cs="Times New Roman"/>
                <w:color w:val="000000"/>
                <w:lang w:eastAsia="nl-NL"/>
              </w:rPr>
              <w:t>1</w:t>
            </w:r>
          </w:p>
        </w:tc>
        <w:tc>
          <w:tcPr>
            <w:tcW w:w="134" w:type="pct"/>
            <w:tcBorders>
              <w:top w:val="nil"/>
              <w:left w:val="nil"/>
              <w:bottom w:val="nil"/>
              <w:right w:val="nil"/>
            </w:tcBorders>
          </w:tcPr>
          <w:p w14:paraId="75053EF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654D593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1.2</w:t>
            </w:r>
            <w:r>
              <w:rPr>
                <w:rFonts w:ascii="Calibri" w:eastAsia="Times New Roman" w:hAnsi="Calibri" w:cs="Times New Roman"/>
                <w:color w:val="000000"/>
                <w:lang w:eastAsia="nl-NL"/>
              </w:rPr>
              <w:t>0</w:t>
            </w:r>
          </w:p>
        </w:tc>
        <w:tc>
          <w:tcPr>
            <w:tcW w:w="543" w:type="pct"/>
            <w:tcBorders>
              <w:top w:val="nil"/>
              <w:left w:val="nil"/>
              <w:bottom w:val="nil"/>
              <w:right w:val="nil"/>
            </w:tcBorders>
            <w:shd w:val="clear" w:color="auto" w:fill="auto"/>
            <w:noWrap/>
            <w:vAlign w:val="bottom"/>
            <w:hideMark/>
          </w:tcPr>
          <w:p w14:paraId="6364FBA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0.99</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1.46</w:t>
            </w:r>
            <w:r>
              <w:rPr>
                <w:rFonts w:ascii="Calibri" w:eastAsia="Times New Roman" w:hAnsi="Calibri" w:cs="Times New Roman"/>
                <w:color w:val="000000"/>
                <w:lang w:eastAsia="nl-NL"/>
              </w:rPr>
              <w:t>)</w:t>
            </w:r>
          </w:p>
        </w:tc>
        <w:tc>
          <w:tcPr>
            <w:tcW w:w="248" w:type="pct"/>
            <w:tcBorders>
              <w:top w:val="nil"/>
              <w:left w:val="nil"/>
              <w:bottom w:val="nil"/>
              <w:right w:val="nil"/>
            </w:tcBorders>
            <w:shd w:val="clear" w:color="auto" w:fill="auto"/>
            <w:noWrap/>
            <w:vAlign w:val="bottom"/>
            <w:hideMark/>
          </w:tcPr>
          <w:p w14:paraId="34164F7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0.06</w:t>
            </w:r>
          </w:p>
        </w:tc>
      </w:tr>
      <w:tr w:rsidR="000E66DE" w:rsidRPr="009155BD" w14:paraId="22C71788" w14:textId="77777777" w:rsidTr="00A67E1F">
        <w:trPr>
          <w:gridAfter w:val="1"/>
          <w:wAfter w:w="3" w:type="pct"/>
          <w:trHeight w:val="300"/>
        </w:trPr>
        <w:tc>
          <w:tcPr>
            <w:tcW w:w="776" w:type="pct"/>
            <w:tcBorders>
              <w:top w:val="nil"/>
              <w:left w:val="nil"/>
              <w:bottom w:val="nil"/>
              <w:right w:val="nil"/>
            </w:tcBorders>
            <w:shd w:val="clear" w:color="auto" w:fill="auto"/>
            <w:noWrap/>
            <w:vAlign w:val="bottom"/>
          </w:tcPr>
          <w:p w14:paraId="536A8E2C" w14:textId="77777777" w:rsidR="000E66DE" w:rsidRPr="009155BD" w:rsidRDefault="000E66DE" w:rsidP="00A67E1F">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AHD</w:t>
            </w:r>
            <w:r w:rsidRPr="00ED4052">
              <w:rPr>
                <w:rFonts w:ascii="Calibri" w:eastAsia="Times New Roman" w:hAnsi="Calibri" w:cs="Times New Roman"/>
                <w:b/>
                <w:color w:val="000000"/>
                <w:lang w:eastAsia="nl-NL"/>
              </w:rPr>
              <w:t xml:space="preserve"> classes:</w:t>
            </w:r>
          </w:p>
        </w:tc>
        <w:tc>
          <w:tcPr>
            <w:tcW w:w="204" w:type="pct"/>
            <w:tcBorders>
              <w:top w:val="nil"/>
              <w:left w:val="nil"/>
              <w:bottom w:val="nil"/>
              <w:right w:val="nil"/>
            </w:tcBorders>
            <w:shd w:val="clear" w:color="auto" w:fill="auto"/>
            <w:noWrap/>
            <w:vAlign w:val="bottom"/>
            <w:hideMark/>
          </w:tcPr>
          <w:p w14:paraId="39DD2173"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540" w:type="pct"/>
            <w:tcBorders>
              <w:top w:val="nil"/>
              <w:left w:val="nil"/>
              <w:bottom w:val="nil"/>
              <w:right w:val="nil"/>
            </w:tcBorders>
            <w:shd w:val="clear" w:color="auto" w:fill="auto"/>
            <w:noWrap/>
            <w:vAlign w:val="bottom"/>
            <w:hideMark/>
          </w:tcPr>
          <w:p w14:paraId="73590F18"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8" w:type="pct"/>
            <w:tcBorders>
              <w:top w:val="nil"/>
              <w:left w:val="nil"/>
              <w:bottom w:val="nil"/>
              <w:right w:val="nil"/>
            </w:tcBorders>
            <w:shd w:val="clear" w:color="auto" w:fill="auto"/>
            <w:noWrap/>
            <w:vAlign w:val="bottom"/>
            <w:hideMark/>
          </w:tcPr>
          <w:p w14:paraId="3AA4EF26"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21" w:type="pct"/>
            <w:tcBorders>
              <w:top w:val="nil"/>
              <w:left w:val="nil"/>
              <w:bottom w:val="nil"/>
              <w:right w:val="nil"/>
            </w:tcBorders>
          </w:tcPr>
          <w:p w14:paraId="64776024"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90" w:type="pct"/>
            <w:tcBorders>
              <w:top w:val="nil"/>
              <w:left w:val="nil"/>
              <w:bottom w:val="nil"/>
              <w:right w:val="nil"/>
            </w:tcBorders>
            <w:shd w:val="clear" w:color="auto" w:fill="auto"/>
            <w:noWrap/>
            <w:vAlign w:val="bottom"/>
            <w:hideMark/>
          </w:tcPr>
          <w:p w14:paraId="52B02F07"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541" w:type="pct"/>
            <w:tcBorders>
              <w:top w:val="nil"/>
              <w:left w:val="nil"/>
              <w:bottom w:val="nil"/>
              <w:right w:val="nil"/>
            </w:tcBorders>
            <w:shd w:val="clear" w:color="auto" w:fill="auto"/>
            <w:noWrap/>
            <w:vAlign w:val="bottom"/>
            <w:hideMark/>
          </w:tcPr>
          <w:p w14:paraId="4C08F33D"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90" w:type="pct"/>
            <w:tcBorders>
              <w:top w:val="nil"/>
              <w:left w:val="nil"/>
              <w:bottom w:val="nil"/>
              <w:right w:val="nil"/>
            </w:tcBorders>
            <w:shd w:val="clear" w:color="auto" w:fill="auto"/>
            <w:noWrap/>
            <w:vAlign w:val="bottom"/>
            <w:hideMark/>
          </w:tcPr>
          <w:p w14:paraId="0E6840E2"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119" w:type="pct"/>
            <w:tcBorders>
              <w:top w:val="nil"/>
              <w:left w:val="nil"/>
              <w:bottom w:val="nil"/>
              <w:right w:val="nil"/>
            </w:tcBorders>
          </w:tcPr>
          <w:p w14:paraId="508DC9C9"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6" w:type="pct"/>
            <w:tcBorders>
              <w:top w:val="nil"/>
              <w:left w:val="nil"/>
              <w:bottom w:val="nil"/>
              <w:right w:val="nil"/>
            </w:tcBorders>
            <w:shd w:val="clear" w:color="auto" w:fill="auto"/>
            <w:noWrap/>
            <w:vAlign w:val="bottom"/>
            <w:hideMark/>
          </w:tcPr>
          <w:p w14:paraId="6A82F9E3"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p>
        </w:tc>
        <w:tc>
          <w:tcPr>
            <w:tcW w:w="542" w:type="pct"/>
            <w:tcBorders>
              <w:top w:val="nil"/>
              <w:left w:val="nil"/>
              <w:bottom w:val="nil"/>
              <w:right w:val="nil"/>
            </w:tcBorders>
            <w:shd w:val="clear" w:color="auto" w:fill="auto"/>
            <w:noWrap/>
            <w:vAlign w:val="bottom"/>
            <w:hideMark/>
          </w:tcPr>
          <w:p w14:paraId="3DB95973" w14:textId="77777777" w:rsidR="000E66DE" w:rsidRDefault="000E66DE" w:rsidP="00A67E1F">
            <w:pPr>
              <w:spacing w:after="0" w:line="240" w:lineRule="auto"/>
              <w:jc w:val="center"/>
              <w:rPr>
                <w:rFonts w:ascii="Calibri" w:eastAsia="Times New Roman" w:hAnsi="Calibri" w:cs="Times New Roman"/>
                <w:color w:val="000000"/>
                <w:lang w:eastAsia="nl-NL"/>
              </w:rPr>
            </w:pPr>
          </w:p>
        </w:tc>
        <w:tc>
          <w:tcPr>
            <w:tcW w:w="230" w:type="pct"/>
            <w:tcBorders>
              <w:top w:val="nil"/>
              <w:left w:val="nil"/>
              <w:bottom w:val="nil"/>
              <w:right w:val="nil"/>
            </w:tcBorders>
            <w:shd w:val="clear" w:color="auto" w:fill="auto"/>
            <w:noWrap/>
            <w:vAlign w:val="bottom"/>
            <w:hideMark/>
          </w:tcPr>
          <w:p w14:paraId="0AA95E68"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p>
        </w:tc>
        <w:tc>
          <w:tcPr>
            <w:tcW w:w="134" w:type="pct"/>
            <w:tcBorders>
              <w:top w:val="nil"/>
              <w:left w:val="nil"/>
              <w:bottom w:val="nil"/>
              <w:right w:val="nil"/>
            </w:tcBorders>
          </w:tcPr>
          <w:p w14:paraId="1E977627"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06" w:type="pct"/>
            <w:tcBorders>
              <w:top w:val="nil"/>
              <w:left w:val="nil"/>
              <w:bottom w:val="nil"/>
              <w:right w:val="nil"/>
            </w:tcBorders>
            <w:shd w:val="clear" w:color="auto" w:fill="auto"/>
            <w:noWrap/>
            <w:vAlign w:val="bottom"/>
            <w:hideMark/>
          </w:tcPr>
          <w:p w14:paraId="339C7CC0"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543" w:type="pct"/>
            <w:tcBorders>
              <w:top w:val="nil"/>
              <w:left w:val="nil"/>
              <w:bottom w:val="nil"/>
              <w:right w:val="nil"/>
            </w:tcBorders>
            <w:shd w:val="clear" w:color="auto" w:fill="auto"/>
            <w:noWrap/>
            <w:vAlign w:val="bottom"/>
            <w:hideMark/>
          </w:tcPr>
          <w:p w14:paraId="156AAFA3"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c>
          <w:tcPr>
            <w:tcW w:w="248" w:type="pct"/>
            <w:tcBorders>
              <w:top w:val="nil"/>
              <w:left w:val="nil"/>
              <w:bottom w:val="nil"/>
              <w:right w:val="nil"/>
            </w:tcBorders>
            <w:shd w:val="clear" w:color="auto" w:fill="auto"/>
            <w:noWrap/>
            <w:vAlign w:val="bottom"/>
            <w:hideMark/>
          </w:tcPr>
          <w:p w14:paraId="38E0CA8B" w14:textId="77777777" w:rsidR="000E66DE" w:rsidRPr="009155BD" w:rsidRDefault="000E66DE" w:rsidP="00A67E1F">
            <w:pPr>
              <w:spacing w:after="0" w:line="240" w:lineRule="auto"/>
              <w:jc w:val="center"/>
              <w:rPr>
                <w:rFonts w:ascii="Times New Roman" w:eastAsia="Times New Roman" w:hAnsi="Times New Roman" w:cs="Times New Roman"/>
                <w:sz w:val="20"/>
                <w:szCs w:val="20"/>
                <w:lang w:eastAsia="nl-NL"/>
              </w:rPr>
            </w:pPr>
          </w:p>
        </w:tc>
      </w:tr>
      <w:tr w:rsidR="000E66DE" w:rsidRPr="009155BD" w14:paraId="4F5AF089"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4ADE7880"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Diuretics (n=932)</w:t>
            </w:r>
          </w:p>
        </w:tc>
        <w:tc>
          <w:tcPr>
            <w:tcW w:w="204" w:type="pct"/>
            <w:tcBorders>
              <w:top w:val="nil"/>
              <w:left w:val="nil"/>
              <w:bottom w:val="nil"/>
              <w:right w:val="nil"/>
            </w:tcBorders>
            <w:shd w:val="clear" w:color="auto" w:fill="auto"/>
            <w:noWrap/>
            <w:vAlign w:val="bottom"/>
            <w:hideMark/>
          </w:tcPr>
          <w:p w14:paraId="53C193E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1.04</w:t>
            </w:r>
          </w:p>
        </w:tc>
        <w:tc>
          <w:tcPr>
            <w:tcW w:w="540" w:type="pct"/>
            <w:tcBorders>
              <w:top w:val="nil"/>
              <w:left w:val="nil"/>
              <w:bottom w:val="nil"/>
              <w:right w:val="nil"/>
            </w:tcBorders>
            <w:shd w:val="clear" w:color="auto" w:fill="auto"/>
            <w:noWrap/>
            <w:vAlign w:val="bottom"/>
            <w:hideMark/>
          </w:tcPr>
          <w:p w14:paraId="4453D0BF"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0.71</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1.5</w:t>
            </w:r>
            <w:r>
              <w:rPr>
                <w:rFonts w:ascii="Calibri" w:eastAsia="Times New Roman" w:hAnsi="Calibri" w:cs="Times New Roman"/>
                <w:color w:val="000000"/>
                <w:lang w:eastAsia="nl-NL"/>
              </w:rPr>
              <w:t>3)</w:t>
            </w:r>
          </w:p>
        </w:tc>
        <w:tc>
          <w:tcPr>
            <w:tcW w:w="208" w:type="pct"/>
            <w:tcBorders>
              <w:top w:val="nil"/>
              <w:left w:val="nil"/>
              <w:bottom w:val="nil"/>
              <w:right w:val="nil"/>
            </w:tcBorders>
            <w:shd w:val="clear" w:color="auto" w:fill="auto"/>
            <w:noWrap/>
            <w:vAlign w:val="bottom"/>
            <w:hideMark/>
          </w:tcPr>
          <w:p w14:paraId="5E7C025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w:t>
            </w:r>
            <w:r>
              <w:rPr>
                <w:rFonts w:ascii="Calibri" w:eastAsia="Times New Roman" w:hAnsi="Calibri" w:cs="Times New Roman"/>
                <w:color w:val="000000"/>
                <w:lang w:eastAsia="nl-NL"/>
              </w:rPr>
              <w:t>2</w:t>
            </w:r>
          </w:p>
        </w:tc>
        <w:tc>
          <w:tcPr>
            <w:tcW w:w="121" w:type="pct"/>
            <w:tcBorders>
              <w:top w:val="nil"/>
              <w:left w:val="nil"/>
              <w:bottom w:val="nil"/>
              <w:right w:val="nil"/>
            </w:tcBorders>
          </w:tcPr>
          <w:p w14:paraId="567253A4"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bottom w:val="nil"/>
              <w:right w:val="nil"/>
            </w:tcBorders>
            <w:shd w:val="clear" w:color="auto" w:fill="auto"/>
            <w:noWrap/>
            <w:vAlign w:val="bottom"/>
            <w:hideMark/>
          </w:tcPr>
          <w:p w14:paraId="7AFF8F7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1.03</w:t>
            </w:r>
          </w:p>
        </w:tc>
        <w:tc>
          <w:tcPr>
            <w:tcW w:w="541" w:type="pct"/>
            <w:tcBorders>
              <w:top w:val="nil"/>
              <w:left w:val="nil"/>
              <w:bottom w:val="nil"/>
              <w:right w:val="nil"/>
            </w:tcBorders>
            <w:shd w:val="clear" w:color="auto" w:fill="auto"/>
            <w:noWrap/>
            <w:vAlign w:val="bottom"/>
            <w:hideMark/>
          </w:tcPr>
          <w:p w14:paraId="392FE714"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0.7</w:t>
            </w:r>
            <w:r>
              <w:rPr>
                <w:rFonts w:ascii="Calibri" w:eastAsia="Times New Roman" w:hAnsi="Calibri" w:cs="Times New Roman"/>
                <w:color w:val="000000"/>
                <w:lang w:eastAsia="nl-NL"/>
              </w:rPr>
              <w:t xml:space="preserve">0 to </w:t>
            </w:r>
            <w:r w:rsidRPr="009155BD">
              <w:rPr>
                <w:rFonts w:ascii="Calibri" w:eastAsia="Times New Roman" w:hAnsi="Calibri" w:cs="Times New Roman"/>
                <w:color w:val="000000"/>
                <w:lang w:eastAsia="nl-NL"/>
              </w:rPr>
              <w:t>1.51</w:t>
            </w:r>
            <w:r>
              <w:rPr>
                <w:rFonts w:ascii="Calibri" w:eastAsia="Times New Roman" w:hAnsi="Calibri" w:cs="Times New Roman"/>
                <w:color w:val="000000"/>
                <w:lang w:eastAsia="nl-NL"/>
              </w:rPr>
              <w:t>)</w:t>
            </w:r>
          </w:p>
        </w:tc>
        <w:tc>
          <w:tcPr>
            <w:tcW w:w="190" w:type="pct"/>
            <w:tcBorders>
              <w:top w:val="nil"/>
              <w:left w:val="nil"/>
              <w:bottom w:val="nil"/>
              <w:right w:val="nil"/>
            </w:tcBorders>
            <w:shd w:val="clear" w:color="auto" w:fill="auto"/>
            <w:noWrap/>
            <w:vAlign w:val="bottom"/>
            <w:hideMark/>
          </w:tcPr>
          <w:p w14:paraId="7DC0C71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0.87</w:t>
            </w:r>
          </w:p>
        </w:tc>
        <w:tc>
          <w:tcPr>
            <w:tcW w:w="119" w:type="pct"/>
            <w:tcBorders>
              <w:top w:val="nil"/>
              <w:left w:val="nil"/>
              <w:bottom w:val="nil"/>
              <w:right w:val="nil"/>
            </w:tcBorders>
          </w:tcPr>
          <w:p w14:paraId="67A30C4E"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751C00D9"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1.18</w:t>
            </w:r>
          </w:p>
        </w:tc>
        <w:tc>
          <w:tcPr>
            <w:tcW w:w="542" w:type="pct"/>
            <w:tcBorders>
              <w:top w:val="nil"/>
              <w:left w:val="nil"/>
              <w:bottom w:val="nil"/>
              <w:right w:val="nil"/>
            </w:tcBorders>
            <w:shd w:val="clear" w:color="auto" w:fill="auto"/>
            <w:noWrap/>
            <w:vAlign w:val="bottom"/>
            <w:hideMark/>
          </w:tcPr>
          <w:p w14:paraId="4E596FFB"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0.91</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1.52</w:t>
            </w:r>
            <w:r>
              <w:rPr>
                <w:rFonts w:ascii="Calibri" w:eastAsia="Times New Roman" w:hAnsi="Calibri" w:cs="Times New Roman"/>
                <w:color w:val="000000"/>
                <w:lang w:eastAsia="nl-NL"/>
              </w:rPr>
              <w:t>)</w:t>
            </w:r>
          </w:p>
        </w:tc>
        <w:tc>
          <w:tcPr>
            <w:tcW w:w="230" w:type="pct"/>
            <w:tcBorders>
              <w:top w:val="nil"/>
              <w:left w:val="nil"/>
              <w:bottom w:val="nil"/>
              <w:right w:val="nil"/>
            </w:tcBorders>
            <w:shd w:val="clear" w:color="auto" w:fill="auto"/>
            <w:noWrap/>
            <w:vAlign w:val="bottom"/>
            <w:hideMark/>
          </w:tcPr>
          <w:p w14:paraId="5829C06E"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0.21</w:t>
            </w:r>
          </w:p>
        </w:tc>
        <w:tc>
          <w:tcPr>
            <w:tcW w:w="134" w:type="pct"/>
            <w:tcBorders>
              <w:top w:val="nil"/>
              <w:left w:val="nil"/>
              <w:bottom w:val="nil"/>
              <w:right w:val="nil"/>
            </w:tcBorders>
          </w:tcPr>
          <w:p w14:paraId="54C82A6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1E0FA79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1.12</w:t>
            </w:r>
          </w:p>
        </w:tc>
        <w:tc>
          <w:tcPr>
            <w:tcW w:w="543" w:type="pct"/>
            <w:tcBorders>
              <w:top w:val="nil"/>
              <w:left w:val="nil"/>
              <w:bottom w:val="nil"/>
              <w:right w:val="nil"/>
            </w:tcBorders>
            <w:shd w:val="clear" w:color="auto" w:fill="auto"/>
            <w:noWrap/>
            <w:vAlign w:val="bottom"/>
            <w:hideMark/>
          </w:tcPr>
          <w:p w14:paraId="599CC3C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0.91</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1.39</w:t>
            </w:r>
            <w:r>
              <w:rPr>
                <w:rFonts w:ascii="Calibri" w:eastAsia="Times New Roman" w:hAnsi="Calibri" w:cs="Times New Roman"/>
                <w:color w:val="000000"/>
                <w:lang w:eastAsia="nl-NL"/>
              </w:rPr>
              <w:t>)</w:t>
            </w:r>
          </w:p>
        </w:tc>
        <w:tc>
          <w:tcPr>
            <w:tcW w:w="248" w:type="pct"/>
            <w:tcBorders>
              <w:top w:val="nil"/>
              <w:left w:val="nil"/>
              <w:bottom w:val="nil"/>
              <w:right w:val="nil"/>
            </w:tcBorders>
            <w:shd w:val="clear" w:color="auto" w:fill="auto"/>
            <w:noWrap/>
            <w:vAlign w:val="bottom"/>
            <w:hideMark/>
          </w:tcPr>
          <w:p w14:paraId="6E0EF85D"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0.28</w:t>
            </w:r>
          </w:p>
        </w:tc>
      </w:tr>
      <w:tr w:rsidR="000E66DE" w:rsidRPr="009155BD" w14:paraId="76E3359C"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6ECA8F35" w14:textId="77777777" w:rsidR="000E66DE" w:rsidRPr="009155BD" w:rsidRDefault="000E66DE" w:rsidP="00A67E1F">
            <w:pPr>
              <w:spacing w:after="0" w:line="240" w:lineRule="auto"/>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B</w:t>
            </w:r>
            <w:r>
              <w:rPr>
                <w:rFonts w:ascii="Calibri" w:eastAsia="Times New Roman" w:hAnsi="Calibri" w:cs="Times New Roman"/>
                <w:color w:val="000000"/>
                <w:lang w:eastAsia="nl-NL"/>
              </w:rPr>
              <w:t>eta-blockers (n=899)</w:t>
            </w:r>
          </w:p>
        </w:tc>
        <w:tc>
          <w:tcPr>
            <w:tcW w:w="204" w:type="pct"/>
            <w:tcBorders>
              <w:top w:val="nil"/>
              <w:left w:val="nil"/>
              <w:bottom w:val="nil"/>
              <w:right w:val="nil"/>
            </w:tcBorders>
            <w:shd w:val="clear" w:color="auto" w:fill="auto"/>
            <w:noWrap/>
            <w:vAlign w:val="bottom"/>
            <w:hideMark/>
          </w:tcPr>
          <w:p w14:paraId="6BE4E37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1.3</w:t>
            </w:r>
            <w:r>
              <w:rPr>
                <w:rFonts w:ascii="Calibri" w:eastAsia="Times New Roman" w:hAnsi="Calibri" w:cs="Times New Roman"/>
                <w:color w:val="000000"/>
                <w:lang w:eastAsia="nl-NL"/>
              </w:rPr>
              <w:t>1</w:t>
            </w:r>
          </w:p>
        </w:tc>
        <w:tc>
          <w:tcPr>
            <w:tcW w:w="540" w:type="pct"/>
            <w:tcBorders>
              <w:top w:val="nil"/>
              <w:left w:val="nil"/>
              <w:bottom w:val="nil"/>
              <w:right w:val="nil"/>
            </w:tcBorders>
            <w:shd w:val="clear" w:color="auto" w:fill="auto"/>
            <w:noWrap/>
            <w:vAlign w:val="bottom"/>
            <w:hideMark/>
          </w:tcPr>
          <w:p w14:paraId="46F7D00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w:t>
            </w:r>
            <w:r>
              <w:rPr>
                <w:rFonts w:ascii="Calibri" w:eastAsia="Times New Roman" w:hAnsi="Calibri" w:cs="Times New Roman"/>
                <w:color w:val="000000"/>
                <w:lang w:eastAsia="nl-NL"/>
              </w:rPr>
              <w:t xml:space="preserve">3 to </w:t>
            </w:r>
            <w:r w:rsidRPr="009155BD">
              <w:rPr>
                <w:rFonts w:ascii="Calibri" w:eastAsia="Times New Roman" w:hAnsi="Calibri" w:cs="Times New Roman"/>
                <w:color w:val="000000"/>
                <w:lang w:eastAsia="nl-NL"/>
              </w:rPr>
              <w:t>1.8</w:t>
            </w:r>
            <w:r>
              <w:rPr>
                <w:rFonts w:ascii="Calibri" w:eastAsia="Times New Roman" w:hAnsi="Calibri" w:cs="Times New Roman"/>
                <w:color w:val="000000"/>
                <w:lang w:eastAsia="nl-NL"/>
              </w:rPr>
              <w:t>4)</w:t>
            </w:r>
          </w:p>
        </w:tc>
        <w:tc>
          <w:tcPr>
            <w:tcW w:w="208" w:type="pct"/>
            <w:tcBorders>
              <w:top w:val="nil"/>
              <w:left w:val="nil"/>
              <w:bottom w:val="nil"/>
              <w:right w:val="nil"/>
            </w:tcBorders>
            <w:shd w:val="clear" w:color="auto" w:fill="auto"/>
            <w:noWrap/>
            <w:vAlign w:val="bottom"/>
            <w:hideMark/>
          </w:tcPr>
          <w:p w14:paraId="2BF3ACF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w:t>
            </w:r>
            <w:r>
              <w:rPr>
                <w:rFonts w:ascii="Calibri" w:eastAsia="Times New Roman" w:hAnsi="Calibri" w:cs="Times New Roman"/>
                <w:color w:val="000000"/>
                <w:lang w:eastAsia="nl-NL"/>
              </w:rPr>
              <w:t>2</w:t>
            </w:r>
          </w:p>
        </w:tc>
        <w:tc>
          <w:tcPr>
            <w:tcW w:w="121" w:type="pct"/>
            <w:tcBorders>
              <w:top w:val="nil"/>
              <w:left w:val="nil"/>
              <w:bottom w:val="nil"/>
              <w:right w:val="nil"/>
            </w:tcBorders>
          </w:tcPr>
          <w:p w14:paraId="3E3FBAE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bottom w:val="nil"/>
              <w:right w:val="nil"/>
            </w:tcBorders>
            <w:shd w:val="clear" w:color="auto" w:fill="auto"/>
            <w:noWrap/>
            <w:vAlign w:val="bottom"/>
            <w:hideMark/>
          </w:tcPr>
          <w:p w14:paraId="2DF1FFB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1.35</w:t>
            </w:r>
          </w:p>
        </w:tc>
        <w:tc>
          <w:tcPr>
            <w:tcW w:w="541" w:type="pct"/>
            <w:tcBorders>
              <w:top w:val="nil"/>
              <w:left w:val="nil"/>
              <w:bottom w:val="nil"/>
              <w:right w:val="nil"/>
            </w:tcBorders>
            <w:shd w:val="clear" w:color="auto" w:fill="auto"/>
            <w:noWrap/>
            <w:vAlign w:val="bottom"/>
            <w:hideMark/>
          </w:tcPr>
          <w:p w14:paraId="37EBFA7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0.96</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1.89</w:t>
            </w:r>
            <w:r>
              <w:rPr>
                <w:rFonts w:ascii="Calibri" w:eastAsia="Times New Roman" w:hAnsi="Calibri" w:cs="Times New Roman"/>
                <w:color w:val="000000"/>
                <w:lang w:eastAsia="nl-NL"/>
              </w:rPr>
              <w:t>)</w:t>
            </w:r>
          </w:p>
        </w:tc>
        <w:tc>
          <w:tcPr>
            <w:tcW w:w="190" w:type="pct"/>
            <w:tcBorders>
              <w:top w:val="nil"/>
              <w:left w:val="nil"/>
              <w:bottom w:val="nil"/>
              <w:right w:val="nil"/>
            </w:tcBorders>
            <w:shd w:val="clear" w:color="auto" w:fill="auto"/>
            <w:noWrap/>
            <w:vAlign w:val="bottom"/>
            <w:hideMark/>
          </w:tcPr>
          <w:p w14:paraId="72F502D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0.09</w:t>
            </w:r>
          </w:p>
        </w:tc>
        <w:tc>
          <w:tcPr>
            <w:tcW w:w="119" w:type="pct"/>
            <w:tcBorders>
              <w:top w:val="nil"/>
              <w:left w:val="nil"/>
              <w:bottom w:val="nil"/>
              <w:right w:val="nil"/>
            </w:tcBorders>
          </w:tcPr>
          <w:p w14:paraId="3C7B013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55EA98C9"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0.85</w:t>
            </w:r>
          </w:p>
        </w:tc>
        <w:tc>
          <w:tcPr>
            <w:tcW w:w="542" w:type="pct"/>
            <w:tcBorders>
              <w:top w:val="nil"/>
              <w:left w:val="nil"/>
              <w:bottom w:val="nil"/>
              <w:right w:val="nil"/>
            </w:tcBorders>
            <w:shd w:val="clear" w:color="auto" w:fill="auto"/>
            <w:noWrap/>
            <w:vAlign w:val="bottom"/>
            <w:hideMark/>
          </w:tcPr>
          <w:p w14:paraId="23F42FE3"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0.67</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1.07</w:t>
            </w:r>
            <w:r>
              <w:rPr>
                <w:rFonts w:ascii="Calibri" w:eastAsia="Times New Roman" w:hAnsi="Calibri" w:cs="Times New Roman"/>
                <w:color w:val="000000"/>
                <w:lang w:eastAsia="nl-NL"/>
              </w:rPr>
              <w:t>)</w:t>
            </w:r>
          </w:p>
        </w:tc>
        <w:tc>
          <w:tcPr>
            <w:tcW w:w="230" w:type="pct"/>
            <w:tcBorders>
              <w:top w:val="nil"/>
              <w:left w:val="nil"/>
              <w:bottom w:val="nil"/>
              <w:right w:val="nil"/>
            </w:tcBorders>
            <w:shd w:val="clear" w:color="auto" w:fill="auto"/>
            <w:noWrap/>
            <w:vAlign w:val="bottom"/>
            <w:hideMark/>
          </w:tcPr>
          <w:p w14:paraId="69DDDB46"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0.16</w:t>
            </w:r>
          </w:p>
        </w:tc>
        <w:tc>
          <w:tcPr>
            <w:tcW w:w="134" w:type="pct"/>
            <w:tcBorders>
              <w:top w:val="nil"/>
              <w:left w:val="nil"/>
              <w:bottom w:val="nil"/>
              <w:right w:val="nil"/>
            </w:tcBorders>
          </w:tcPr>
          <w:p w14:paraId="7F31F50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3A91FD4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0.97</w:t>
            </w:r>
          </w:p>
        </w:tc>
        <w:tc>
          <w:tcPr>
            <w:tcW w:w="543" w:type="pct"/>
            <w:tcBorders>
              <w:top w:val="nil"/>
              <w:left w:val="nil"/>
              <w:bottom w:val="nil"/>
              <w:right w:val="nil"/>
            </w:tcBorders>
            <w:shd w:val="clear" w:color="auto" w:fill="auto"/>
            <w:noWrap/>
            <w:vAlign w:val="bottom"/>
            <w:hideMark/>
          </w:tcPr>
          <w:p w14:paraId="0DADC69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0.8</w:t>
            </w:r>
            <w:r>
              <w:rPr>
                <w:rFonts w:ascii="Calibri" w:eastAsia="Times New Roman" w:hAnsi="Calibri" w:cs="Times New Roman"/>
                <w:color w:val="000000"/>
                <w:lang w:eastAsia="nl-NL"/>
              </w:rPr>
              <w:t xml:space="preserve">0 to </w:t>
            </w:r>
            <w:r w:rsidRPr="009155BD">
              <w:rPr>
                <w:rFonts w:ascii="Calibri" w:eastAsia="Times New Roman" w:hAnsi="Calibri" w:cs="Times New Roman"/>
                <w:color w:val="000000"/>
                <w:lang w:eastAsia="nl-NL"/>
              </w:rPr>
              <w:t>1.17</w:t>
            </w:r>
            <w:r>
              <w:rPr>
                <w:rFonts w:ascii="Calibri" w:eastAsia="Times New Roman" w:hAnsi="Calibri" w:cs="Times New Roman"/>
                <w:color w:val="000000"/>
                <w:lang w:eastAsia="nl-NL"/>
              </w:rPr>
              <w:t>)</w:t>
            </w:r>
          </w:p>
        </w:tc>
        <w:tc>
          <w:tcPr>
            <w:tcW w:w="248" w:type="pct"/>
            <w:tcBorders>
              <w:top w:val="nil"/>
              <w:left w:val="nil"/>
              <w:bottom w:val="nil"/>
              <w:right w:val="nil"/>
            </w:tcBorders>
            <w:shd w:val="clear" w:color="auto" w:fill="auto"/>
            <w:noWrap/>
            <w:vAlign w:val="bottom"/>
            <w:hideMark/>
          </w:tcPr>
          <w:p w14:paraId="5EA83AC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0.74</w:t>
            </w:r>
          </w:p>
        </w:tc>
      </w:tr>
      <w:tr w:rsidR="000E66DE" w:rsidRPr="009155BD" w14:paraId="35BF06D3" w14:textId="77777777" w:rsidTr="00A67E1F">
        <w:trPr>
          <w:gridAfter w:val="1"/>
          <w:wAfter w:w="3" w:type="pct"/>
          <w:trHeight w:val="300"/>
        </w:trPr>
        <w:tc>
          <w:tcPr>
            <w:tcW w:w="776" w:type="pct"/>
            <w:tcBorders>
              <w:top w:val="nil"/>
              <w:left w:val="nil"/>
              <w:bottom w:val="nil"/>
              <w:right w:val="nil"/>
            </w:tcBorders>
            <w:shd w:val="clear" w:color="auto" w:fill="auto"/>
            <w:noWrap/>
            <w:vAlign w:val="bottom"/>
            <w:hideMark/>
          </w:tcPr>
          <w:p w14:paraId="058C9BA9"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CCB (n=478)</w:t>
            </w:r>
          </w:p>
        </w:tc>
        <w:tc>
          <w:tcPr>
            <w:tcW w:w="204" w:type="pct"/>
            <w:tcBorders>
              <w:top w:val="nil"/>
              <w:left w:val="nil"/>
              <w:bottom w:val="nil"/>
              <w:right w:val="nil"/>
            </w:tcBorders>
            <w:shd w:val="clear" w:color="auto" w:fill="auto"/>
            <w:noWrap/>
            <w:vAlign w:val="bottom"/>
            <w:hideMark/>
          </w:tcPr>
          <w:p w14:paraId="7E3C4AC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0.64</w:t>
            </w:r>
          </w:p>
        </w:tc>
        <w:tc>
          <w:tcPr>
            <w:tcW w:w="540" w:type="pct"/>
            <w:tcBorders>
              <w:top w:val="nil"/>
              <w:left w:val="nil"/>
              <w:bottom w:val="nil"/>
              <w:right w:val="nil"/>
            </w:tcBorders>
            <w:shd w:val="clear" w:color="auto" w:fill="auto"/>
            <w:noWrap/>
            <w:vAlign w:val="bottom"/>
            <w:hideMark/>
          </w:tcPr>
          <w:p w14:paraId="6A0DB0D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0.39</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1.06</w:t>
            </w:r>
            <w:r>
              <w:rPr>
                <w:rFonts w:ascii="Calibri" w:eastAsia="Times New Roman" w:hAnsi="Calibri" w:cs="Times New Roman"/>
                <w:color w:val="000000"/>
                <w:lang w:eastAsia="nl-NL"/>
              </w:rPr>
              <w:t>)</w:t>
            </w:r>
          </w:p>
        </w:tc>
        <w:tc>
          <w:tcPr>
            <w:tcW w:w="208" w:type="pct"/>
            <w:tcBorders>
              <w:top w:val="nil"/>
              <w:left w:val="nil"/>
              <w:bottom w:val="nil"/>
              <w:right w:val="nil"/>
            </w:tcBorders>
            <w:shd w:val="clear" w:color="auto" w:fill="auto"/>
            <w:noWrap/>
            <w:vAlign w:val="bottom"/>
            <w:hideMark/>
          </w:tcPr>
          <w:p w14:paraId="2A45644C"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0.08</w:t>
            </w:r>
          </w:p>
        </w:tc>
        <w:tc>
          <w:tcPr>
            <w:tcW w:w="121" w:type="pct"/>
            <w:tcBorders>
              <w:top w:val="nil"/>
              <w:left w:val="nil"/>
              <w:bottom w:val="nil"/>
              <w:right w:val="nil"/>
            </w:tcBorders>
          </w:tcPr>
          <w:p w14:paraId="432582B0"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bottom w:val="nil"/>
              <w:right w:val="nil"/>
            </w:tcBorders>
            <w:shd w:val="clear" w:color="auto" w:fill="auto"/>
            <w:noWrap/>
            <w:vAlign w:val="bottom"/>
            <w:hideMark/>
          </w:tcPr>
          <w:p w14:paraId="111373EE"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0.66</w:t>
            </w:r>
          </w:p>
        </w:tc>
        <w:tc>
          <w:tcPr>
            <w:tcW w:w="541" w:type="pct"/>
            <w:tcBorders>
              <w:top w:val="nil"/>
              <w:left w:val="nil"/>
              <w:bottom w:val="nil"/>
              <w:right w:val="nil"/>
            </w:tcBorders>
            <w:shd w:val="clear" w:color="auto" w:fill="auto"/>
            <w:noWrap/>
            <w:vAlign w:val="bottom"/>
            <w:hideMark/>
          </w:tcPr>
          <w:p w14:paraId="32532AB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0.4</w:t>
            </w:r>
            <w:r>
              <w:rPr>
                <w:rFonts w:ascii="Calibri" w:eastAsia="Times New Roman" w:hAnsi="Calibri" w:cs="Times New Roman"/>
                <w:color w:val="000000"/>
                <w:lang w:eastAsia="nl-NL"/>
              </w:rPr>
              <w:t xml:space="preserve">0 to </w:t>
            </w:r>
            <w:r w:rsidRPr="009155BD">
              <w:rPr>
                <w:rFonts w:ascii="Calibri" w:eastAsia="Times New Roman" w:hAnsi="Calibri" w:cs="Times New Roman"/>
                <w:color w:val="000000"/>
                <w:lang w:eastAsia="nl-NL"/>
              </w:rPr>
              <w:t>1.09</w:t>
            </w:r>
            <w:r>
              <w:rPr>
                <w:rFonts w:ascii="Calibri" w:eastAsia="Times New Roman" w:hAnsi="Calibri" w:cs="Times New Roman"/>
                <w:color w:val="000000"/>
                <w:lang w:eastAsia="nl-NL"/>
              </w:rPr>
              <w:t>)</w:t>
            </w:r>
          </w:p>
        </w:tc>
        <w:tc>
          <w:tcPr>
            <w:tcW w:w="190" w:type="pct"/>
            <w:tcBorders>
              <w:top w:val="nil"/>
              <w:left w:val="nil"/>
              <w:bottom w:val="nil"/>
              <w:right w:val="nil"/>
            </w:tcBorders>
            <w:shd w:val="clear" w:color="auto" w:fill="auto"/>
            <w:noWrap/>
            <w:vAlign w:val="bottom"/>
            <w:hideMark/>
          </w:tcPr>
          <w:p w14:paraId="3B9A32E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w:t>
            </w:r>
            <w:r>
              <w:rPr>
                <w:rFonts w:ascii="Calibri" w:eastAsia="Times New Roman" w:hAnsi="Calibri" w:cs="Times New Roman"/>
                <w:color w:val="000000"/>
                <w:lang w:eastAsia="nl-NL"/>
              </w:rPr>
              <w:t>0</w:t>
            </w:r>
          </w:p>
        </w:tc>
        <w:tc>
          <w:tcPr>
            <w:tcW w:w="119" w:type="pct"/>
            <w:tcBorders>
              <w:top w:val="nil"/>
              <w:left w:val="nil"/>
              <w:bottom w:val="nil"/>
              <w:right w:val="nil"/>
            </w:tcBorders>
          </w:tcPr>
          <w:p w14:paraId="259F96E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766C93E6"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0.96</w:t>
            </w:r>
          </w:p>
        </w:tc>
        <w:tc>
          <w:tcPr>
            <w:tcW w:w="542" w:type="pct"/>
            <w:tcBorders>
              <w:top w:val="nil"/>
              <w:left w:val="nil"/>
              <w:bottom w:val="nil"/>
              <w:right w:val="nil"/>
            </w:tcBorders>
            <w:shd w:val="clear" w:color="auto" w:fill="auto"/>
            <w:noWrap/>
            <w:vAlign w:val="bottom"/>
            <w:hideMark/>
          </w:tcPr>
          <w:p w14:paraId="3E72CE0C"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0.73</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1.27</w:t>
            </w:r>
            <w:r>
              <w:rPr>
                <w:rFonts w:ascii="Calibri" w:eastAsia="Times New Roman" w:hAnsi="Calibri" w:cs="Times New Roman"/>
                <w:color w:val="000000"/>
                <w:lang w:eastAsia="nl-NL"/>
              </w:rPr>
              <w:t>)</w:t>
            </w:r>
          </w:p>
        </w:tc>
        <w:tc>
          <w:tcPr>
            <w:tcW w:w="230" w:type="pct"/>
            <w:tcBorders>
              <w:top w:val="nil"/>
              <w:left w:val="nil"/>
              <w:bottom w:val="nil"/>
              <w:right w:val="nil"/>
            </w:tcBorders>
            <w:shd w:val="clear" w:color="auto" w:fill="auto"/>
            <w:noWrap/>
            <w:vAlign w:val="bottom"/>
            <w:hideMark/>
          </w:tcPr>
          <w:p w14:paraId="555786FD"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0.78</w:t>
            </w:r>
          </w:p>
        </w:tc>
        <w:tc>
          <w:tcPr>
            <w:tcW w:w="134" w:type="pct"/>
            <w:tcBorders>
              <w:top w:val="nil"/>
              <w:left w:val="nil"/>
              <w:bottom w:val="nil"/>
              <w:right w:val="nil"/>
            </w:tcBorders>
          </w:tcPr>
          <w:p w14:paraId="19E26F94"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nil"/>
              <w:right w:val="nil"/>
            </w:tcBorders>
            <w:shd w:val="clear" w:color="auto" w:fill="auto"/>
            <w:noWrap/>
            <w:vAlign w:val="bottom"/>
            <w:hideMark/>
          </w:tcPr>
          <w:p w14:paraId="1EDF482D"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0.87</w:t>
            </w:r>
          </w:p>
        </w:tc>
        <w:tc>
          <w:tcPr>
            <w:tcW w:w="543" w:type="pct"/>
            <w:tcBorders>
              <w:top w:val="nil"/>
              <w:left w:val="nil"/>
              <w:bottom w:val="nil"/>
              <w:right w:val="nil"/>
            </w:tcBorders>
            <w:shd w:val="clear" w:color="auto" w:fill="auto"/>
            <w:noWrap/>
            <w:vAlign w:val="bottom"/>
            <w:hideMark/>
          </w:tcPr>
          <w:p w14:paraId="76E09DC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0.69</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1.11</w:t>
            </w:r>
            <w:r>
              <w:rPr>
                <w:rFonts w:ascii="Calibri" w:eastAsia="Times New Roman" w:hAnsi="Calibri" w:cs="Times New Roman"/>
                <w:color w:val="000000"/>
                <w:lang w:eastAsia="nl-NL"/>
              </w:rPr>
              <w:t>)</w:t>
            </w:r>
          </w:p>
        </w:tc>
        <w:tc>
          <w:tcPr>
            <w:tcW w:w="248" w:type="pct"/>
            <w:tcBorders>
              <w:top w:val="nil"/>
              <w:left w:val="nil"/>
              <w:bottom w:val="nil"/>
              <w:right w:val="nil"/>
            </w:tcBorders>
            <w:shd w:val="clear" w:color="auto" w:fill="auto"/>
            <w:noWrap/>
            <w:vAlign w:val="bottom"/>
            <w:hideMark/>
          </w:tcPr>
          <w:p w14:paraId="22125E7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0.26</w:t>
            </w:r>
          </w:p>
        </w:tc>
      </w:tr>
      <w:tr w:rsidR="000E66DE" w:rsidRPr="009155BD" w14:paraId="3187014A" w14:textId="77777777" w:rsidTr="00A67E1F">
        <w:trPr>
          <w:gridAfter w:val="1"/>
          <w:wAfter w:w="3" w:type="pct"/>
          <w:trHeight w:val="300"/>
        </w:trPr>
        <w:tc>
          <w:tcPr>
            <w:tcW w:w="776" w:type="pct"/>
            <w:tcBorders>
              <w:top w:val="nil"/>
              <w:left w:val="nil"/>
              <w:right w:val="nil"/>
            </w:tcBorders>
            <w:shd w:val="clear" w:color="auto" w:fill="auto"/>
            <w:noWrap/>
            <w:vAlign w:val="bottom"/>
            <w:hideMark/>
          </w:tcPr>
          <w:p w14:paraId="7C758F56"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ACE inhibitors (n=585)</w:t>
            </w:r>
          </w:p>
        </w:tc>
        <w:tc>
          <w:tcPr>
            <w:tcW w:w="204" w:type="pct"/>
            <w:tcBorders>
              <w:top w:val="nil"/>
              <w:left w:val="nil"/>
              <w:right w:val="nil"/>
            </w:tcBorders>
            <w:shd w:val="clear" w:color="auto" w:fill="auto"/>
            <w:noWrap/>
            <w:vAlign w:val="bottom"/>
            <w:hideMark/>
          </w:tcPr>
          <w:p w14:paraId="4508C96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1.3</w:t>
            </w:r>
            <w:r>
              <w:rPr>
                <w:rFonts w:ascii="Calibri" w:eastAsia="Times New Roman" w:hAnsi="Calibri" w:cs="Times New Roman"/>
                <w:color w:val="000000"/>
                <w:lang w:eastAsia="nl-NL"/>
              </w:rPr>
              <w:t>8</w:t>
            </w:r>
          </w:p>
        </w:tc>
        <w:tc>
          <w:tcPr>
            <w:tcW w:w="540" w:type="pct"/>
            <w:tcBorders>
              <w:top w:val="nil"/>
              <w:left w:val="nil"/>
              <w:right w:val="nil"/>
            </w:tcBorders>
            <w:shd w:val="clear" w:color="auto" w:fill="auto"/>
            <w:noWrap/>
            <w:vAlign w:val="bottom"/>
            <w:hideMark/>
          </w:tcPr>
          <w:p w14:paraId="7D237BA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0.93</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2.0</w:t>
            </w:r>
            <w:r>
              <w:rPr>
                <w:rFonts w:ascii="Calibri" w:eastAsia="Times New Roman" w:hAnsi="Calibri" w:cs="Times New Roman"/>
                <w:color w:val="000000"/>
                <w:lang w:eastAsia="nl-NL"/>
              </w:rPr>
              <w:t>4)</w:t>
            </w:r>
          </w:p>
        </w:tc>
        <w:tc>
          <w:tcPr>
            <w:tcW w:w="208" w:type="pct"/>
            <w:tcBorders>
              <w:top w:val="nil"/>
              <w:left w:val="nil"/>
              <w:right w:val="nil"/>
            </w:tcBorders>
            <w:shd w:val="clear" w:color="auto" w:fill="auto"/>
            <w:noWrap/>
            <w:vAlign w:val="bottom"/>
            <w:hideMark/>
          </w:tcPr>
          <w:p w14:paraId="554BFD4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w:t>
            </w:r>
            <w:r>
              <w:rPr>
                <w:rFonts w:ascii="Calibri" w:eastAsia="Times New Roman" w:hAnsi="Calibri" w:cs="Times New Roman"/>
                <w:color w:val="000000"/>
                <w:lang w:eastAsia="nl-NL"/>
              </w:rPr>
              <w:t>1</w:t>
            </w:r>
          </w:p>
        </w:tc>
        <w:tc>
          <w:tcPr>
            <w:tcW w:w="121" w:type="pct"/>
            <w:tcBorders>
              <w:top w:val="nil"/>
              <w:left w:val="nil"/>
              <w:right w:val="nil"/>
            </w:tcBorders>
          </w:tcPr>
          <w:p w14:paraId="5F40626F"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right w:val="nil"/>
            </w:tcBorders>
            <w:shd w:val="clear" w:color="auto" w:fill="auto"/>
            <w:noWrap/>
            <w:vAlign w:val="bottom"/>
            <w:hideMark/>
          </w:tcPr>
          <w:p w14:paraId="440D2DC4"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1.3</w:t>
            </w:r>
            <w:r>
              <w:rPr>
                <w:rFonts w:ascii="Calibri" w:eastAsia="Times New Roman" w:hAnsi="Calibri" w:cs="Times New Roman"/>
                <w:color w:val="000000"/>
                <w:lang w:eastAsia="nl-NL"/>
              </w:rPr>
              <w:t>0</w:t>
            </w:r>
          </w:p>
        </w:tc>
        <w:tc>
          <w:tcPr>
            <w:tcW w:w="541" w:type="pct"/>
            <w:tcBorders>
              <w:top w:val="nil"/>
              <w:left w:val="nil"/>
              <w:right w:val="nil"/>
            </w:tcBorders>
            <w:shd w:val="clear" w:color="auto" w:fill="auto"/>
            <w:noWrap/>
            <w:vAlign w:val="bottom"/>
            <w:hideMark/>
          </w:tcPr>
          <w:p w14:paraId="48A1923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0.88</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1.93</w:t>
            </w:r>
            <w:r>
              <w:rPr>
                <w:rFonts w:ascii="Calibri" w:eastAsia="Times New Roman" w:hAnsi="Calibri" w:cs="Times New Roman"/>
                <w:color w:val="000000"/>
                <w:lang w:eastAsia="nl-NL"/>
              </w:rPr>
              <w:t>)</w:t>
            </w:r>
          </w:p>
        </w:tc>
        <w:tc>
          <w:tcPr>
            <w:tcW w:w="190" w:type="pct"/>
            <w:tcBorders>
              <w:top w:val="nil"/>
              <w:left w:val="nil"/>
              <w:right w:val="nil"/>
            </w:tcBorders>
            <w:shd w:val="clear" w:color="auto" w:fill="auto"/>
            <w:noWrap/>
            <w:vAlign w:val="bottom"/>
            <w:hideMark/>
          </w:tcPr>
          <w:p w14:paraId="7972416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0.19</w:t>
            </w:r>
          </w:p>
        </w:tc>
        <w:tc>
          <w:tcPr>
            <w:tcW w:w="119" w:type="pct"/>
            <w:tcBorders>
              <w:top w:val="nil"/>
              <w:left w:val="nil"/>
              <w:right w:val="nil"/>
            </w:tcBorders>
          </w:tcPr>
          <w:p w14:paraId="2F442A4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right w:val="nil"/>
            </w:tcBorders>
            <w:shd w:val="clear" w:color="auto" w:fill="auto"/>
            <w:noWrap/>
            <w:vAlign w:val="bottom"/>
            <w:hideMark/>
          </w:tcPr>
          <w:p w14:paraId="65174E4B"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1.23</w:t>
            </w:r>
          </w:p>
        </w:tc>
        <w:tc>
          <w:tcPr>
            <w:tcW w:w="542" w:type="pct"/>
            <w:tcBorders>
              <w:top w:val="nil"/>
              <w:left w:val="nil"/>
              <w:right w:val="nil"/>
            </w:tcBorders>
            <w:shd w:val="clear" w:color="auto" w:fill="auto"/>
            <w:noWrap/>
            <w:vAlign w:val="bottom"/>
            <w:hideMark/>
          </w:tcPr>
          <w:p w14:paraId="4A238549"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0.97</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1.57</w:t>
            </w:r>
            <w:r>
              <w:rPr>
                <w:rFonts w:ascii="Calibri" w:eastAsia="Times New Roman" w:hAnsi="Calibri" w:cs="Times New Roman"/>
                <w:color w:val="000000"/>
                <w:lang w:eastAsia="nl-NL"/>
              </w:rPr>
              <w:t>)</w:t>
            </w:r>
          </w:p>
        </w:tc>
        <w:tc>
          <w:tcPr>
            <w:tcW w:w="230" w:type="pct"/>
            <w:tcBorders>
              <w:top w:val="nil"/>
              <w:left w:val="nil"/>
              <w:right w:val="nil"/>
            </w:tcBorders>
            <w:shd w:val="clear" w:color="auto" w:fill="auto"/>
            <w:noWrap/>
            <w:vAlign w:val="bottom"/>
            <w:hideMark/>
          </w:tcPr>
          <w:p w14:paraId="4FBD2CE4"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0.0</w:t>
            </w:r>
            <w:r>
              <w:rPr>
                <w:rFonts w:ascii="Calibri" w:eastAsia="Times New Roman" w:hAnsi="Calibri" w:cs="Times New Roman"/>
                <w:color w:val="000000"/>
                <w:lang w:eastAsia="nl-NL"/>
              </w:rPr>
              <w:t>9</w:t>
            </w:r>
          </w:p>
        </w:tc>
        <w:tc>
          <w:tcPr>
            <w:tcW w:w="134" w:type="pct"/>
            <w:tcBorders>
              <w:top w:val="nil"/>
              <w:left w:val="nil"/>
              <w:right w:val="nil"/>
            </w:tcBorders>
          </w:tcPr>
          <w:p w14:paraId="27700BD5"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right w:val="nil"/>
            </w:tcBorders>
            <w:shd w:val="clear" w:color="auto" w:fill="auto"/>
            <w:noWrap/>
            <w:vAlign w:val="bottom"/>
            <w:hideMark/>
          </w:tcPr>
          <w:p w14:paraId="1082BE87"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1.24</w:t>
            </w:r>
          </w:p>
        </w:tc>
        <w:tc>
          <w:tcPr>
            <w:tcW w:w="543" w:type="pct"/>
            <w:tcBorders>
              <w:top w:val="nil"/>
              <w:left w:val="nil"/>
              <w:right w:val="nil"/>
            </w:tcBorders>
            <w:shd w:val="clear" w:color="auto" w:fill="auto"/>
            <w:noWrap/>
            <w:vAlign w:val="bottom"/>
            <w:hideMark/>
          </w:tcPr>
          <w:p w14:paraId="02D3F3D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1.01</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1.53</w:t>
            </w:r>
            <w:r>
              <w:rPr>
                <w:rFonts w:ascii="Calibri" w:eastAsia="Times New Roman" w:hAnsi="Calibri" w:cs="Times New Roman"/>
                <w:color w:val="000000"/>
                <w:lang w:eastAsia="nl-NL"/>
              </w:rPr>
              <w:t>)</w:t>
            </w:r>
          </w:p>
        </w:tc>
        <w:tc>
          <w:tcPr>
            <w:tcW w:w="248" w:type="pct"/>
            <w:tcBorders>
              <w:top w:val="nil"/>
              <w:left w:val="nil"/>
              <w:right w:val="nil"/>
            </w:tcBorders>
            <w:shd w:val="clear" w:color="auto" w:fill="auto"/>
            <w:noWrap/>
            <w:vAlign w:val="bottom"/>
            <w:hideMark/>
          </w:tcPr>
          <w:p w14:paraId="183E852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0.04</w:t>
            </w:r>
          </w:p>
        </w:tc>
      </w:tr>
      <w:tr w:rsidR="000E66DE" w:rsidRPr="009155BD" w14:paraId="14E80361" w14:textId="77777777" w:rsidTr="00A67E1F">
        <w:trPr>
          <w:gridAfter w:val="1"/>
          <w:wAfter w:w="3" w:type="pct"/>
          <w:trHeight w:val="300"/>
        </w:trPr>
        <w:tc>
          <w:tcPr>
            <w:tcW w:w="776" w:type="pct"/>
            <w:tcBorders>
              <w:top w:val="nil"/>
              <w:left w:val="nil"/>
              <w:bottom w:val="single" w:sz="4" w:space="0" w:color="auto"/>
              <w:right w:val="nil"/>
            </w:tcBorders>
            <w:shd w:val="clear" w:color="auto" w:fill="auto"/>
            <w:noWrap/>
            <w:vAlign w:val="bottom"/>
            <w:hideMark/>
          </w:tcPr>
          <w:p w14:paraId="23492F61" w14:textId="77777777" w:rsidR="000E66DE" w:rsidRPr="009155BD" w:rsidRDefault="000E66DE" w:rsidP="00A67E1F">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ARB (n=368)</w:t>
            </w:r>
          </w:p>
        </w:tc>
        <w:tc>
          <w:tcPr>
            <w:tcW w:w="204" w:type="pct"/>
            <w:tcBorders>
              <w:top w:val="nil"/>
              <w:left w:val="nil"/>
              <w:bottom w:val="single" w:sz="4" w:space="0" w:color="auto"/>
              <w:right w:val="nil"/>
            </w:tcBorders>
            <w:shd w:val="clear" w:color="auto" w:fill="auto"/>
            <w:noWrap/>
            <w:vAlign w:val="bottom"/>
            <w:hideMark/>
          </w:tcPr>
          <w:p w14:paraId="49AB5841"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0.7</w:t>
            </w:r>
            <w:r>
              <w:rPr>
                <w:rFonts w:ascii="Calibri" w:eastAsia="Times New Roman" w:hAnsi="Calibri" w:cs="Times New Roman"/>
                <w:color w:val="000000"/>
                <w:lang w:eastAsia="nl-NL"/>
              </w:rPr>
              <w:t>8</w:t>
            </w:r>
          </w:p>
        </w:tc>
        <w:tc>
          <w:tcPr>
            <w:tcW w:w="540" w:type="pct"/>
            <w:tcBorders>
              <w:top w:val="nil"/>
              <w:left w:val="nil"/>
              <w:bottom w:val="single" w:sz="4" w:space="0" w:color="auto"/>
              <w:right w:val="nil"/>
            </w:tcBorders>
            <w:shd w:val="clear" w:color="auto" w:fill="auto"/>
            <w:noWrap/>
            <w:vAlign w:val="bottom"/>
            <w:hideMark/>
          </w:tcPr>
          <w:p w14:paraId="4D65A269"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0.47</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1.2</w:t>
            </w:r>
            <w:r>
              <w:rPr>
                <w:rFonts w:ascii="Calibri" w:eastAsia="Times New Roman" w:hAnsi="Calibri" w:cs="Times New Roman"/>
                <w:color w:val="000000"/>
                <w:lang w:eastAsia="nl-NL"/>
              </w:rPr>
              <w:t>9)</w:t>
            </w:r>
          </w:p>
        </w:tc>
        <w:tc>
          <w:tcPr>
            <w:tcW w:w="208" w:type="pct"/>
            <w:tcBorders>
              <w:top w:val="nil"/>
              <w:left w:val="nil"/>
              <w:bottom w:val="single" w:sz="4" w:space="0" w:color="auto"/>
              <w:right w:val="nil"/>
            </w:tcBorders>
            <w:shd w:val="clear" w:color="auto" w:fill="auto"/>
            <w:noWrap/>
            <w:vAlign w:val="bottom"/>
            <w:hideMark/>
          </w:tcPr>
          <w:p w14:paraId="4F14661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0.3</w:t>
            </w:r>
            <w:r>
              <w:rPr>
                <w:rFonts w:ascii="Calibri" w:eastAsia="Times New Roman" w:hAnsi="Calibri" w:cs="Times New Roman"/>
                <w:color w:val="000000"/>
                <w:lang w:eastAsia="nl-NL"/>
              </w:rPr>
              <w:t>3</w:t>
            </w:r>
          </w:p>
        </w:tc>
        <w:tc>
          <w:tcPr>
            <w:tcW w:w="121" w:type="pct"/>
            <w:tcBorders>
              <w:top w:val="nil"/>
              <w:left w:val="nil"/>
              <w:bottom w:val="single" w:sz="4" w:space="0" w:color="auto"/>
              <w:right w:val="nil"/>
            </w:tcBorders>
          </w:tcPr>
          <w:p w14:paraId="5C9D794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190" w:type="pct"/>
            <w:tcBorders>
              <w:top w:val="nil"/>
              <w:left w:val="nil"/>
              <w:bottom w:val="single" w:sz="4" w:space="0" w:color="auto"/>
              <w:right w:val="nil"/>
            </w:tcBorders>
            <w:shd w:val="clear" w:color="auto" w:fill="auto"/>
            <w:noWrap/>
            <w:vAlign w:val="bottom"/>
            <w:hideMark/>
          </w:tcPr>
          <w:p w14:paraId="2042EC2B"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0.78</w:t>
            </w:r>
          </w:p>
        </w:tc>
        <w:tc>
          <w:tcPr>
            <w:tcW w:w="541" w:type="pct"/>
            <w:tcBorders>
              <w:top w:val="nil"/>
              <w:left w:val="nil"/>
              <w:bottom w:val="single" w:sz="4" w:space="0" w:color="auto"/>
              <w:right w:val="nil"/>
            </w:tcBorders>
            <w:shd w:val="clear" w:color="auto" w:fill="auto"/>
            <w:noWrap/>
            <w:vAlign w:val="bottom"/>
            <w:hideMark/>
          </w:tcPr>
          <w:p w14:paraId="426AF0C2"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0.47</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1.3</w:t>
            </w:r>
            <w:r>
              <w:rPr>
                <w:rFonts w:ascii="Calibri" w:eastAsia="Times New Roman" w:hAnsi="Calibri" w:cs="Times New Roman"/>
                <w:color w:val="000000"/>
                <w:lang w:eastAsia="nl-NL"/>
              </w:rPr>
              <w:t>0)</w:t>
            </w:r>
          </w:p>
        </w:tc>
        <w:tc>
          <w:tcPr>
            <w:tcW w:w="190" w:type="pct"/>
            <w:tcBorders>
              <w:top w:val="nil"/>
              <w:left w:val="nil"/>
              <w:bottom w:val="single" w:sz="4" w:space="0" w:color="auto"/>
              <w:right w:val="nil"/>
            </w:tcBorders>
            <w:shd w:val="clear" w:color="auto" w:fill="auto"/>
            <w:noWrap/>
            <w:vAlign w:val="bottom"/>
            <w:hideMark/>
          </w:tcPr>
          <w:p w14:paraId="1BA312BA"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0.34</w:t>
            </w:r>
          </w:p>
        </w:tc>
        <w:tc>
          <w:tcPr>
            <w:tcW w:w="119" w:type="pct"/>
            <w:tcBorders>
              <w:top w:val="nil"/>
              <w:left w:val="nil"/>
              <w:bottom w:val="single" w:sz="4" w:space="0" w:color="auto"/>
              <w:right w:val="nil"/>
            </w:tcBorders>
          </w:tcPr>
          <w:p w14:paraId="5A1231A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single" w:sz="4" w:space="0" w:color="auto"/>
              <w:right w:val="nil"/>
            </w:tcBorders>
            <w:shd w:val="clear" w:color="auto" w:fill="auto"/>
            <w:noWrap/>
            <w:vAlign w:val="bottom"/>
            <w:hideMark/>
          </w:tcPr>
          <w:p w14:paraId="0707A378"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0.98</w:t>
            </w:r>
          </w:p>
        </w:tc>
        <w:tc>
          <w:tcPr>
            <w:tcW w:w="542" w:type="pct"/>
            <w:tcBorders>
              <w:top w:val="nil"/>
              <w:left w:val="nil"/>
              <w:bottom w:val="single" w:sz="4" w:space="0" w:color="auto"/>
              <w:right w:val="nil"/>
            </w:tcBorders>
            <w:shd w:val="clear" w:color="auto" w:fill="auto"/>
            <w:noWrap/>
            <w:vAlign w:val="bottom"/>
            <w:hideMark/>
          </w:tcPr>
          <w:p w14:paraId="4B16F73A"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5844CC">
              <w:rPr>
                <w:rFonts w:ascii="Calibri" w:eastAsia="Times New Roman" w:hAnsi="Calibri" w:cs="Times New Roman"/>
                <w:color w:val="000000"/>
                <w:lang w:eastAsia="nl-NL"/>
              </w:rPr>
              <w:t>0.74</w:t>
            </w:r>
            <w:r>
              <w:rPr>
                <w:rFonts w:ascii="Calibri" w:eastAsia="Times New Roman" w:hAnsi="Calibri" w:cs="Times New Roman"/>
                <w:color w:val="000000"/>
                <w:lang w:eastAsia="nl-NL"/>
              </w:rPr>
              <w:t xml:space="preserve"> to </w:t>
            </w:r>
            <w:r w:rsidRPr="005844CC">
              <w:rPr>
                <w:rFonts w:ascii="Calibri" w:eastAsia="Times New Roman" w:hAnsi="Calibri" w:cs="Times New Roman"/>
                <w:color w:val="000000"/>
                <w:lang w:eastAsia="nl-NL"/>
              </w:rPr>
              <w:t>1.3</w:t>
            </w:r>
            <w:r>
              <w:rPr>
                <w:rFonts w:ascii="Calibri" w:eastAsia="Times New Roman" w:hAnsi="Calibri" w:cs="Times New Roman"/>
                <w:color w:val="000000"/>
                <w:lang w:eastAsia="nl-NL"/>
              </w:rPr>
              <w:t>0)</w:t>
            </w:r>
          </w:p>
        </w:tc>
        <w:tc>
          <w:tcPr>
            <w:tcW w:w="230" w:type="pct"/>
            <w:tcBorders>
              <w:top w:val="nil"/>
              <w:left w:val="nil"/>
              <w:bottom w:val="single" w:sz="4" w:space="0" w:color="auto"/>
              <w:right w:val="nil"/>
            </w:tcBorders>
            <w:shd w:val="clear" w:color="auto" w:fill="auto"/>
            <w:noWrap/>
            <w:vAlign w:val="bottom"/>
            <w:hideMark/>
          </w:tcPr>
          <w:p w14:paraId="4B175498" w14:textId="77777777" w:rsidR="000E66DE" w:rsidRPr="005844CC" w:rsidRDefault="000E66DE" w:rsidP="00A67E1F">
            <w:pPr>
              <w:spacing w:after="0" w:line="240" w:lineRule="auto"/>
              <w:jc w:val="center"/>
              <w:rPr>
                <w:rFonts w:ascii="Calibri" w:eastAsia="Times New Roman" w:hAnsi="Calibri" w:cs="Times New Roman"/>
                <w:color w:val="000000"/>
                <w:lang w:eastAsia="nl-NL"/>
              </w:rPr>
            </w:pPr>
            <w:r w:rsidRPr="005844CC">
              <w:rPr>
                <w:rFonts w:ascii="Calibri" w:eastAsia="Times New Roman" w:hAnsi="Calibri" w:cs="Times New Roman"/>
                <w:color w:val="000000"/>
                <w:lang w:eastAsia="nl-NL"/>
              </w:rPr>
              <w:t>0.</w:t>
            </w:r>
            <w:r>
              <w:rPr>
                <w:rFonts w:ascii="Calibri" w:eastAsia="Times New Roman" w:hAnsi="Calibri" w:cs="Times New Roman"/>
                <w:color w:val="000000"/>
                <w:lang w:eastAsia="nl-NL"/>
              </w:rPr>
              <w:t>90</w:t>
            </w:r>
          </w:p>
        </w:tc>
        <w:tc>
          <w:tcPr>
            <w:tcW w:w="134" w:type="pct"/>
            <w:tcBorders>
              <w:top w:val="nil"/>
              <w:left w:val="nil"/>
              <w:bottom w:val="single" w:sz="4" w:space="0" w:color="auto"/>
              <w:right w:val="nil"/>
            </w:tcBorders>
          </w:tcPr>
          <w:p w14:paraId="591533F8"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p>
        </w:tc>
        <w:tc>
          <w:tcPr>
            <w:tcW w:w="206" w:type="pct"/>
            <w:tcBorders>
              <w:top w:val="nil"/>
              <w:left w:val="nil"/>
              <w:bottom w:val="single" w:sz="4" w:space="0" w:color="auto"/>
              <w:right w:val="nil"/>
            </w:tcBorders>
            <w:shd w:val="clear" w:color="auto" w:fill="auto"/>
            <w:noWrap/>
            <w:vAlign w:val="bottom"/>
            <w:hideMark/>
          </w:tcPr>
          <w:p w14:paraId="1D778863"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0.95</w:t>
            </w:r>
          </w:p>
        </w:tc>
        <w:tc>
          <w:tcPr>
            <w:tcW w:w="543" w:type="pct"/>
            <w:tcBorders>
              <w:top w:val="nil"/>
              <w:left w:val="nil"/>
              <w:bottom w:val="single" w:sz="4" w:space="0" w:color="auto"/>
              <w:right w:val="nil"/>
            </w:tcBorders>
            <w:shd w:val="clear" w:color="auto" w:fill="auto"/>
            <w:noWrap/>
            <w:vAlign w:val="bottom"/>
            <w:hideMark/>
          </w:tcPr>
          <w:p w14:paraId="0DB808E6"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9155BD">
              <w:rPr>
                <w:rFonts w:ascii="Calibri" w:eastAsia="Times New Roman" w:hAnsi="Calibri" w:cs="Times New Roman"/>
                <w:color w:val="000000"/>
                <w:lang w:eastAsia="nl-NL"/>
              </w:rPr>
              <w:t>0.75</w:t>
            </w:r>
            <w:r>
              <w:rPr>
                <w:rFonts w:ascii="Calibri" w:eastAsia="Times New Roman" w:hAnsi="Calibri" w:cs="Times New Roman"/>
                <w:color w:val="000000"/>
                <w:lang w:eastAsia="nl-NL"/>
              </w:rPr>
              <w:t xml:space="preserve"> to </w:t>
            </w:r>
            <w:r w:rsidRPr="009155BD">
              <w:rPr>
                <w:rFonts w:ascii="Calibri" w:eastAsia="Times New Roman" w:hAnsi="Calibri" w:cs="Times New Roman"/>
                <w:color w:val="000000"/>
                <w:lang w:eastAsia="nl-NL"/>
              </w:rPr>
              <w:t>1.21</w:t>
            </w:r>
            <w:r>
              <w:rPr>
                <w:rFonts w:ascii="Calibri" w:eastAsia="Times New Roman" w:hAnsi="Calibri" w:cs="Times New Roman"/>
                <w:color w:val="000000"/>
                <w:lang w:eastAsia="nl-NL"/>
              </w:rPr>
              <w:t>)</w:t>
            </w:r>
          </w:p>
        </w:tc>
        <w:tc>
          <w:tcPr>
            <w:tcW w:w="248" w:type="pct"/>
            <w:tcBorders>
              <w:top w:val="nil"/>
              <w:left w:val="nil"/>
              <w:bottom w:val="single" w:sz="4" w:space="0" w:color="auto"/>
              <w:right w:val="nil"/>
            </w:tcBorders>
            <w:shd w:val="clear" w:color="auto" w:fill="auto"/>
            <w:noWrap/>
            <w:vAlign w:val="bottom"/>
            <w:hideMark/>
          </w:tcPr>
          <w:p w14:paraId="683A053E" w14:textId="77777777" w:rsidR="000E66DE" w:rsidRPr="009155BD" w:rsidRDefault="000E66DE" w:rsidP="00A67E1F">
            <w:pPr>
              <w:spacing w:after="0" w:line="240" w:lineRule="auto"/>
              <w:jc w:val="center"/>
              <w:rPr>
                <w:rFonts w:ascii="Calibri" w:eastAsia="Times New Roman" w:hAnsi="Calibri" w:cs="Times New Roman"/>
                <w:color w:val="000000"/>
                <w:lang w:eastAsia="nl-NL"/>
              </w:rPr>
            </w:pPr>
            <w:r w:rsidRPr="009155BD">
              <w:rPr>
                <w:rFonts w:ascii="Calibri" w:eastAsia="Times New Roman" w:hAnsi="Calibri" w:cs="Times New Roman"/>
                <w:color w:val="000000"/>
                <w:lang w:eastAsia="nl-NL"/>
              </w:rPr>
              <w:t>0.68</w:t>
            </w:r>
          </w:p>
        </w:tc>
      </w:tr>
    </w:tbl>
    <w:p w14:paraId="23D64A46" w14:textId="77777777" w:rsidR="000E66DE" w:rsidRPr="00B10D15" w:rsidRDefault="000E66DE" w:rsidP="000E66DE">
      <w:r w:rsidRPr="00B10D15">
        <w:rPr>
          <w:b/>
        </w:rPr>
        <w:t>Table 1. Hazard ratio’s for dementia a</w:t>
      </w:r>
      <w:r>
        <w:rPr>
          <w:b/>
        </w:rPr>
        <w:t xml:space="preserve">nd/or mortality according to classes of antihypertensive drugs. </w:t>
      </w:r>
      <w:r>
        <w:t xml:space="preserve">Results of Cox proportional hazard analyses with AHD class use as predictors. Confounders and cut-off values were chosen to best approximate those used by Tan et al. Number: represents number of different AHD classes used. AHD classes: use of specific AHD class, adjusted for concurrent use of any other AHD class (yes/no). Outcomes: Dementia: incident dementia; Dementia competing risk: the sub-distribution hazard of dementia according to </w:t>
      </w:r>
      <w:proofErr w:type="spellStart"/>
      <w:r>
        <w:t>they</w:t>
      </w:r>
      <w:proofErr w:type="spellEnd"/>
      <w:r>
        <w:t xml:space="preserve"> Fine and </w:t>
      </w:r>
      <w:proofErr w:type="spellStart"/>
      <w:r>
        <w:t>Gray</w:t>
      </w:r>
      <w:proofErr w:type="spellEnd"/>
      <w:r>
        <w:t xml:space="preserve"> competing risk model; Dementia free mortality: mortality with dementia cases censored as non-events at the time of dementia (i.e. cause-specific hazard ratio); Dementia and/or mortality: combined endpoint of dementia and mortality, whichever occurred first. Only participants with known dementia (97%) and mortality (99%) status at the end of the study included. All analyses were adjusted for age, sex, apolipoprotein E4 positive/negative/unknown, mini-mental state examination score, total cholesterol &gt;6.22 mmol/litre, blood pressure &gt;140/90, diabetes mellitus, history of vascular disease and education (3 categories). Abbreviations: AHD: antihypertensive drugs, CCB: calcium channel blockers, ACE: angiotensin converting enzyme, ARB: angiotensin II receptor blockers, HR: hazard ratio, 95% CI: 95% confidence interval.</w:t>
      </w:r>
    </w:p>
    <w:p w14:paraId="50AAD6E4" w14:textId="4502C91C" w:rsidR="000E66DE" w:rsidRPr="00452705" w:rsidRDefault="000E66DE" w:rsidP="00452705">
      <w:pPr>
        <w:spacing w:after="0" w:line="240" w:lineRule="auto"/>
      </w:pPr>
      <w:bookmarkStart w:id="0" w:name="_GoBack"/>
      <w:bookmarkEnd w:id="0"/>
    </w:p>
    <w:sectPr w:rsidR="000E66DE" w:rsidRPr="00452705" w:rsidSect="009155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3F"/>
    <w:rsid w:val="000033B4"/>
    <w:rsid w:val="0005158F"/>
    <w:rsid w:val="00053A2D"/>
    <w:rsid w:val="000C08F1"/>
    <w:rsid w:val="000E66DE"/>
    <w:rsid w:val="00114DB5"/>
    <w:rsid w:val="001472A9"/>
    <w:rsid w:val="00172A91"/>
    <w:rsid w:val="001D0984"/>
    <w:rsid w:val="00201E9B"/>
    <w:rsid w:val="00234EBC"/>
    <w:rsid w:val="002654E2"/>
    <w:rsid w:val="00280F44"/>
    <w:rsid w:val="002D6670"/>
    <w:rsid w:val="00374341"/>
    <w:rsid w:val="003763A8"/>
    <w:rsid w:val="0037715B"/>
    <w:rsid w:val="0038553F"/>
    <w:rsid w:val="003B116A"/>
    <w:rsid w:val="00452705"/>
    <w:rsid w:val="004A40CF"/>
    <w:rsid w:val="004D6CD9"/>
    <w:rsid w:val="004F0A7F"/>
    <w:rsid w:val="0050019A"/>
    <w:rsid w:val="005035AC"/>
    <w:rsid w:val="00513BFE"/>
    <w:rsid w:val="00520C7B"/>
    <w:rsid w:val="00552A7C"/>
    <w:rsid w:val="00586F89"/>
    <w:rsid w:val="005B115F"/>
    <w:rsid w:val="005C0185"/>
    <w:rsid w:val="0060030D"/>
    <w:rsid w:val="00665F8E"/>
    <w:rsid w:val="00683F98"/>
    <w:rsid w:val="006A288E"/>
    <w:rsid w:val="006C3EE9"/>
    <w:rsid w:val="006C6BB5"/>
    <w:rsid w:val="006F3189"/>
    <w:rsid w:val="00714A73"/>
    <w:rsid w:val="00743E40"/>
    <w:rsid w:val="00746AE6"/>
    <w:rsid w:val="007C6E6B"/>
    <w:rsid w:val="007D5B87"/>
    <w:rsid w:val="007E2F67"/>
    <w:rsid w:val="00810AC0"/>
    <w:rsid w:val="008740CD"/>
    <w:rsid w:val="00874995"/>
    <w:rsid w:val="0089477A"/>
    <w:rsid w:val="008A27DC"/>
    <w:rsid w:val="008B303F"/>
    <w:rsid w:val="008B4B2B"/>
    <w:rsid w:val="008E3F66"/>
    <w:rsid w:val="009B641A"/>
    <w:rsid w:val="009D36AD"/>
    <w:rsid w:val="00A030E1"/>
    <w:rsid w:val="00A26D50"/>
    <w:rsid w:val="00AC401A"/>
    <w:rsid w:val="00B17A09"/>
    <w:rsid w:val="00B666A7"/>
    <w:rsid w:val="00BC6509"/>
    <w:rsid w:val="00BE1B45"/>
    <w:rsid w:val="00C02233"/>
    <w:rsid w:val="00C0715D"/>
    <w:rsid w:val="00C237A7"/>
    <w:rsid w:val="00C703C7"/>
    <w:rsid w:val="00C97469"/>
    <w:rsid w:val="00CC3F9A"/>
    <w:rsid w:val="00CF3DD9"/>
    <w:rsid w:val="00D02771"/>
    <w:rsid w:val="00D8313E"/>
    <w:rsid w:val="00D83AF1"/>
    <w:rsid w:val="00DD54ED"/>
    <w:rsid w:val="00E162E6"/>
    <w:rsid w:val="00EB068F"/>
    <w:rsid w:val="00EB497E"/>
    <w:rsid w:val="00EB7A2E"/>
    <w:rsid w:val="00EC08C5"/>
    <w:rsid w:val="00EC641D"/>
    <w:rsid w:val="00F2139A"/>
    <w:rsid w:val="00FA41A9"/>
    <w:rsid w:val="00FC2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49F1D"/>
  <w15:docId w15:val="{0361ECD2-DDD1-41E1-B2C3-D7F238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3F6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3F6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8E3F66"/>
    <w:rPr>
      <w:sz w:val="18"/>
      <w:szCs w:val="18"/>
    </w:rPr>
  </w:style>
  <w:style w:type="paragraph" w:styleId="Tekstopmerking">
    <w:name w:val="annotation text"/>
    <w:basedOn w:val="Standaard"/>
    <w:link w:val="TekstopmerkingChar"/>
    <w:uiPriority w:val="99"/>
    <w:semiHidden/>
    <w:unhideWhenUsed/>
    <w:rsid w:val="008E3F6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E3F66"/>
    <w:rPr>
      <w:sz w:val="24"/>
      <w:szCs w:val="24"/>
    </w:rPr>
  </w:style>
  <w:style w:type="paragraph" w:styleId="Onderwerpvanopmerking">
    <w:name w:val="annotation subject"/>
    <w:basedOn w:val="Tekstopmerking"/>
    <w:next w:val="Tekstopmerking"/>
    <w:link w:val="OnderwerpvanopmerkingChar"/>
    <w:uiPriority w:val="99"/>
    <w:semiHidden/>
    <w:unhideWhenUsed/>
    <w:rsid w:val="008E3F66"/>
    <w:rPr>
      <w:b/>
      <w:bCs/>
      <w:sz w:val="20"/>
      <w:szCs w:val="20"/>
    </w:rPr>
  </w:style>
  <w:style w:type="character" w:customStyle="1" w:styleId="OnderwerpvanopmerkingChar">
    <w:name w:val="Onderwerp van opmerking Char"/>
    <w:basedOn w:val="TekstopmerkingChar"/>
    <w:link w:val="Onderwerpvanopmerking"/>
    <w:uiPriority w:val="99"/>
    <w:semiHidden/>
    <w:rsid w:val="008E3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B96D-0C12-4B9B-AA36-08DF4369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4507</Words>
  <Characters>24793</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dc:creator>
  <cp:keywords/>
  <dc:description/>
  <cp:lastModifiedBy>Jan Willem van Dalen</cp:lastModifiedBy>
  <cp:revision>2</cp:revision>
  <dcterms:created xsi:type="dcterms:W3CDTF">2018-11-26T14:40:00Z</dcterms:created>
  <dcterms:modified xsi:type="dcterms:W3CDTF">2018-11-26T14:40:00Z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0f11e6ee-a623-352c-9848-576ea86361aa</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http://www.zotero.org/styles/journal-of-psychiatry-and-neuroscience</vt:lpwstr>
  </property>
  <property fmtid="{D5CDD505-2E9C-101B-9397-08002B2CF9AE}" pid="14" name="Mendeley Recent Style Name 4_1">
    <vt:lpwstr>Journal of Psychiatry &amp; Neuroscience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http://www.zotero.org/styles/the-lancet-neurology</vt:lpwstr>
  </property>
  <property fmtid="{D5CDD505-2E9C-101B-9397-08002B2CF9AE}" pid="22" name="Mendeley Recent Style Name 8_1">
    <vt:lpwstr>The Lancet Neurology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